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B1" w:rsidRPr="00DC37EF" w:rsidRDefault="005E31B1" w:rsidP="00CF36DB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1511F5">
        <w:rPr>
          <w:rFonts w:ascii="Times New Roman" w:hAnsi="Times New Roman"/>
          <w:sz w:val="28"/>
          <w:szCs w:val="28"/>
        </w:rPr>
        <w:t>РЕШЕНИЕ</w:t>
      </w:r>
    </w:p>
    <w:p w:rsidR="005E31B1" w:rsidRPr="00CF36DB" w:rsidRDefault="005E31B1" w:rsidP="00CF3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6DB">
        <w:rPr>
          <w:rFonts w:ascii="Times New Roman" w:hAnsi="Times New Roman"/>
          <w:sz w:val="28"/>
          <w:szCs w:val="28"/>
        </w:rPr>
        <w:t>ученого совета федерального государственного бюджетного образовательного учреждения высшего образования</w:t>
      </w:r>
    </w:p>
    <w:p w:rsidR="005E31B1" w:rsidRPr="00CF36DB" w:rsidRDefault="005E31B1" w:rsidP="00CF3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6DB"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5E31B1" w:rsidRPr="00DC37EF" w:rsidRDefault="005E31B1" w:rsidP="00CF36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b/>
          <w:sz w:val="24"/>
          <w:szCs w:val="24"/>
        </w:rPr>
        <w:t>«</w:t>
      </w:r>
      <w:r w:rsidRPr="001511F5">
        <w:rPr>
          <w:rFonts w:ascii="Times New Roman" w:hAnsi="Times New Roman"/>
          <w:b/>
          <w:sz w:val="24"/>
          <w:szCs w:val="24"/>
          <w:lang w:eastAsia="ru-RU"/>
        </w:rPr>
        <w:t>Об утверждении перспективного плана научно-исследовательских работ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1511F5">
        <w:rPr>
          <w:rFonts w:ascii="Times New Roman" w:hAnsi="Times New Roman"/>
          <w:b/>
          <w:sz w:val="24"/>
          <w:szCs w:val="24"/>
          <w:lang w:eastAsia="ru-RU"/>
        </w:rPr>
        <w:t xml:space="preserve"> на 2018-2024 гг.</w:t>
      </w:r>
      <w:r w:rsidRPr="001511F5">
        <w:rPr>
          <w:rFonts w:ascii="Times New Roman" w:hAnsi="Times New Roman"/>
          <w:b/>
          <w:sz w:val="24"/>
          <w:szCs w:val="24"/>
        </w:rPr>
        <w:t>»</w:t>
      </w:r>
    </w:p>
    <w:p w:rsidR="005E31B1" w:rsidRDefault="005E31B1" w:rsidP="00CF36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 мая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>.,</w:t>
      </w:r>
    </w:p>
    <w:p w:rsidR="005E31B1" w:rsidRPr="00CF36DB" w:rsidRDefault="005E31B1" w:rsidP="00CC6A20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11.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Основная характеристика научной деятельности университета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Основные научные исследования СГЭУ ведутся по 8 отраслям науки: экономические,</w:t>
      </w:r>
      <w:r>
        <w:rPr>
          <w:rFonts w:ascii="Times New Roman" w:hAnsi="Times New Roman"/>
          <w:sz w:val="24"/>
          <w:szCs w:val="24"/>
        </w:rPr>
        <w:t xml:space="preserve"> юридические</w:t>
      </w:r>
      <w:r w:rsidRPr="001511F5">
        <w:rPr>
          <w:rFonts w:ascii="Times New Roman" w:hAnsi="Times New Roman"/>
          <w:sz w:val="24"/>
          <w:szCs w:val="24"/>
        </w:rPr>
        <w:t xml:space="preserve">, педагогические, математические, технические, исторические, философские, филологические.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Общий объем финансирования НИОКР СГЭУ за последние 5 лет составляет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511F5">
        <w:rPr>
          <w:rFonts w:ascii="Times New Roman" w:hAnsi="Times New Roman"/>
          <w:sz w:val="24"/>
          <w:szCs w:val="24"/>
        </w:rPr>
        <w:t xml:space="preserve">190 598,8 тыс. руб., исследования проводились по научным направлениям по следующим областям знаний: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- Общественные науки (социология, экономические науки, юридические науки, науковедение, психология</w:t>
      </w:r>
      <w:r>
        <w:rPr>
          <w:rFonts w:ascii="Times New Roman" w:hAnsi="Times New Roman"/>
          <w:sz w:val="24"/>
          <w:szCs w:val="24"/>
        </w:rPr>
        <w:t>, педагогика</w:t>
      </w:r>
      <w:r w:rsidRPr="001511F5">
        <w:rPr>
          <w:rFonts w:ascii="Times New Roman" w:hAnsi="Times New Roman"/>
          <w:sz w:val="24"/>
          <w:szCs w:val="24"/>
        </w:rPr>
        <w:t xml:space="preserve">): объём финансирования – 169 824,6 тыс. руб., в том числе по источникам финансирования: федеральный бюджет (Министерство образования и науки РФ, средства фондов поддержки научной и научно-технической деятельности – РФФИ (РГНФ), РГО) – 44 450,2 тыс. руб., местный бюджет – 26 502,6 тыс. руб., средства организаций предпринимательского сектора – 94 559,1 тыс. руб.,  средства организаций сектора высшего образования – 2 180,0 тыс. руб., средства иностранных источников – 2 132,7 тыс. руб.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- Технические и прикладные науки (информатика, электроника, радиотехника, связь, автоматика, вычислительная техника, металлургия, машиностроение, приборостроение, химическая технология, строительство, архитектура, транспорт): объём финансирования –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</w:rPr>
        <w:t>114,2 тыс. руб., в том числе по источникам финансирования: средства организаций предпринимательского сектора –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</w:rPr>
        <w:t>114,2 тыс. руб.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- Гуманитарные науки: (исторические науки, философские науки, языкознание, искусствоведение, культурология): объём финансирования – 1 660,0 тыс. руб., в том числе по источникам финансирования: федеральный бюджет (средства фондов поддержки научной и научно-технической деятельности – РФФИ (РГНФ)) – 1 660,0 тыс. руб.</w:t>
      </w:r>
    </w:p>
    <w:p w:rsidR="005E31B1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11F5">
        <w:rPr>
          <w:rFonts w:ascii="Times New Roman" w:hAnsi="Times New Roman"/>
          <w:sz w:val="24"/>
          <w:szCs w:val="24"/>
        </w:rPr>
        <w:t xml:space="preserve">В 2017 году объем финансирования НИР СГЭУ составил 19 827,6 тыс. руб., научные исследования и разработки проводились в рамках конкурсной части государственного задания, проектов Российского фонда фундаментальных исследований, международных проектов и программ. По областям знаний объемы финансирования НИР в СГЭУ распределены следующим образом: 89% - общественные науки, 10% - технические и прикладные науки, 1% - гуманитарные науки. Эффективность научно-исследовательской деятельности обеспечивают 80 докторов наук, 255 кандидатов наук. 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ряду направлений научно-исследовательской деятельности в области региональной экономики, экологии, демографии, социологии ученые университета являются не только лидером регионального и российского уровня, но и включены в глобальные научные сети. Университет демонстрирует высокие показатели публикаций в научных журналах и имеет потенциал для серьезного продвижения в национальном и международном научном пространстве. По объему публикационной активности и уровню цитируемости научных работ СГЭУ занимает 3 место среди всех университетов Самарской области. В структуре публикаций превалируют публикации по экономике и экономическим наукам – 61,7%; юриспруденции – 16,2%. Распределение публикаций по другим отраслям наук выглядит следующим образом: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Народное образование. Педагогика- 5,3 %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Биология - 2,5 %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Социология- 2,6 %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Физическая культура и спорт- 1,7%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Языкознание- 1,6 %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Организация и управление - 1,5 %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Математика- 1,4 %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Сельское и лесное хозяйство- 1,3 %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История. Исторические науки -1,3 %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1511F5">
        <w:rPr>
          <w:color w:val="000000"/>
        </w:rPr>
        <w:t>Медицина и здравоохранение -1,2 %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511F5">
        <w:rPr>
          <w:color w:val="000000"/>
        </w:rPr>
        <w:t>Охрана окружающей среды. Экология человека- 1,1 %</w:t>
      </w:r>
      <w:r>
        <w:rPr>
          <w:color w:val="000000"/>
        </w:rPr>
        <w:t>.</w:t>
      </w:r>
    </w:p>
    <w:p w:rsidR="005E31B1" w:rsidRPr="001511F5" w:rsidRDefault="005E31B1" w:rsidP="001511F5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511F5">
        <w:rPr>
          <w:color w:val="000000"/>
        </w:rPr>
        <w:t>Таким образом, для реализации приоритетных направлений научных исследований, направленных на обеспечение принципов междисциплинарности, целесообразно изменение структуры публикаций в направлении усиления публикационной активности по смежным с экономикой и юриспруденцией областям.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Публикации в Web of Science за 2017 год на 100 научно-педагогических работников (НПР) университета составляют 8.27 ед., Scopus – 15.6 ед., РИНЦ – 584,9 ед. В числе ключевых журналов, включенных в базы данных 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Scopus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WoS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которых публикуются статьи сотрудников университета: журналы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квартиля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Q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2): </w:t>
      </w:r>
      <w:r w:rsidRPr="001511F5">
        <w:rPr>
          <w:rFonts w:ascii="Times New Roman" w:hAnsi="Times New Roman"/>
          <w:sz w:val="24"/>
          <w:szCs w:val="24"/>
          <w:lang w:val="en-US"/>
        </w:rPr>
        <w:t>Economic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Annals</w:t>
      </w:r>
      <w:r w:rsidRPr="001511F5">
        <w:rPr>
          <w:rFonts w:ascii="Times New Roman" w:hAnsi="Times New Roman"/>
          <w:sz w:val="24"/>
          <w:szCs w:val="24"/>
        </w:rPr>
        <w:t>-</w:t>
      </w:r>
      <w:r w:rsidRPr="001511F5">
        <w:rPr>
          <w:rFonts w:ascii="Times New Roman" w:hAnsi="Times New Roman"/>
          <w:sz w:val="24"/>
          <w:szCs w:val="24"/>
          <w:lang w:val="en-US"/>
        </w:rPr>
        <w:t>XXI</w:t>
      </w:r>
      <w:r w:rsidRPr="001511F5">
        <w:rPr>
          <w:rFonts w:ascii="Times New Roman" w:hAnsi="Times New Roman"/>
          <w:sz w:val="24"/>
          <w:szCs w:val="24"/>
        </w:rPr>
        <w:t xml:space="preserve">, </w:t>
      </w:r>
      <w:r w:rsidRPr="001511F5">
        <w:rPr>
          <w:rFonts w:ascii="Times New Roman" w:hAnsi="Times New Roman"/>
          <w:sz w:val="24"/>
          <w:szCs w:val="24"/>
          <w:lang w:val="en-US"/>
        </w:rPr>
        <w:t>Banach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Journal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of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Mathematical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Analysis</w:t>
      </w:r>
      <w:r w:rsidRPr="001511F5">
        <w:rPr>
          <w:rFonts w:ascii="Times New Roman" w:hAnsi="Times New Roman"/>
          <w:sz w:val="24"/>
          <w:szCs w:val="24"/>
        </w:rPr>
        <w:t xml:space="preserve">, </w:t>
      </w:r>
      <w:r w:rsidRPr="001511F5">
        <w:rPr>
          <w:rFonts w:ascii="Times New Roman" w:hAnsi="Times New Roman"/>
          <w:sz w:val="24"/>
          <w:szCs w:val="24"/>
          <w:lang w:val="en-US"/>
        </w:rPr>
        <w:t>Acta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Oeconomica</w:t>
      </w:r>
      <w:r w:rsidRPr="001511F5">
        <w:rPr>
          <w:rFonts w:ascii="Times New Roman" w:hAnsi="Times New Roman"/>
          <w:sz w:val="24"/>
          <w:szCs w:val="24"/>
        </w:rPr>
        <w:t xml:space="preserve">, 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журналы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квартиля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Q</w:t>
      </w:r>
      <w:r w:rsidRPr="001511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</w:t>
      </w:r>
      <w:r w:rsidRPr="001511F5">
        <w:rPr>
          <w:rFonts w:ascii="Times New Roman" w:hAnsi="Times New Roman"/>
          <w:sz w:val="24"/>
          <w:szCs w:val="24"/>
        </w:rPr>
        <w:t xml:space="preserve">: </w:t>
      </w:r>
      <w:r w:rsidRPr="001511F5">
        <w:rPr>
          <w:rFonts w:ascii="Times New Roman" w:hAnsi="Times New Roman"/>
          <w:sz w:val="24"/>
          <w:szCs w:val="24"/>
          <w:lang w:val="en-US"/>
        </w:rPr>
        <w:t>Problems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And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Perspectives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In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Management</w:t>
      </w:r>
      <w:r w:rsidRPr="001511F5">
        <w:rPr>
          <w:rFonts w:ascii="Times New Roman" w:hAnsi="Times New Roman"/>
          <w:sz w:val="24"/>
          <w:szCs w:val="24"/>
        </w:rPr>
        <w:t xml:space="preserve">, </w:t>
      </w:r>
      <w:r w:rsidRPr="001511F5">
        <w:rPr>
          <w:rFonts w:ascii="Times New Roman" w:hAnsi="Times New Roman"/>
          <w:sz w:val="24"/>
          <w:szCs w:val="24"/>
          <w:lang w:val="en-US"/>
        </w:rPr>
        <w:t>Russian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Mathematics</w:t>
      </w:r>
      <w:r w:rsidRPr="001511F5">
        <w:rPr>
          <w:rFonts w:ascii="Times New Roman" w:hAnsi="Times New Roman"/>
          <w:sz w:val="24"/>
          <w:szCs w:val="24"/>
        </w:rPr>
        <w:t xml:space="preserve">, </w:t>
      </w:r>
      <w:r w:rsidRPr="001511F5">
        <w:rPr>
          <w:rFonts w:ascii="Times New Roman" w:hAnsi="Times New Roman"/>
          <w:sz w:val="24"/>
          <w:szCs w:val="24"/>
          <w:lang w:val="en-US"/>
        </w:rPr>
        <w:t>Espacios</w:t>
      </w:r>
      <w:r w:rsidRPr="001511F5">
        <w:rPr>
          <w:rFonts w:ascii="Times New Roman" w:hAnsi="Times New Roman"/>
          <w:sz w:val="24"/>
          <w:szCs w:val="24"/>
        </w:rPr>
        <w:t xml:space="preserve">, </w:t>
      </w:r>
      <w:r w:rsidRPr="001511F5">
        <w:rPr>
          <w:rFonts w:ascii="Times New Roman" w:hAnsi="Times New Roman"/>
          <w:sz w:val="24"/>
          <w:szCs w:val="24"/>
          <w:lang w:val="en-US"/>
        </w:rPr>
        <w:t>Advanced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Research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in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Law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and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Economics</w:t>
      </w:r>
      <w:r w:rsidRPr="001511F5">
        <w:rPr>
          <w:rFonts w:ascii="Times New Roman" w:hAnsi="Times New Roman"/>
          <w:sz w:val="24"/>
          <w:szCs w:val="24"/>
        </w:rPr>
        <w:t xml:space="preserve">, </w:t>
      </w:r>
      <w:r w:rsidRPr="001511F5">
        <w:rPr>
          <w:rFonts w:ascii="Times New Roman" w:hAnsi="Times New Roman"/>
          <w:sz w:val="24"/>
          <w:szCs w:val="24"/>
          <w:lang w:val="en-US"/>
        </w:rPr>
        <w:t>Contributions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To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  <w:lang w:val="en-US"/>
        </w:rPr>
        <w:t>Economics</w:t>
      </w:r>
      <w:r w:rsidRPr="001511F5">
        <w:rPr>
          <w:rFonts w:ascii="Times New Roman" w:hAnsi="Times New Roman"/>
          <w:sz w:val="24"/>
          <w:szCs w:val="24"/>
        </w:rPr>
        <w:t xml:space="preserve">. По показателям публикационной активности в изданиях, индексируемых в </w:t>
      </w:r>
      <w:r w:rsidRPr="001511F5">
        <w:rPr>
          <w:rFonts w:ascii="Times New Roman" w:hAnsi="Times New Roman"/>
          <w:sz w:val="24"/>
          <w:szCs w:val="24"/>
          <w:lang w:val="en-US"/>
        </w:rPr>
        <w:t>WoS</w:t>
      </w:r>
      <w:r w:rsidRPr="001511F5">
        <w:rPr>
          <w:rFonts w:ascii="Times New Roman" w:hAnsi="Times New Roman"/>
          <w:sz w:val="24"/>
          <w:szCs w:val="24"/>
        </w:rPr>
        <w:t xml:space="preserve"> и </w:t>
      </w:r>
      <w:r w:rsidRPr="001511F5">
        <w:rPr>
          <w:rFonts w:ascii="Times New Roman" w:hAnsi="Times New Roman"/>
          <w:sz w:val="24"/>
          <w:szCs w:val="24"/>
          <w:lang w:val="en-US"/>
        </w:rPr>
        <w:t>Scopus</w:t>
      </w:r>
      <w:r w:rsidRPr="001511F5">
        <w:rPr>
          <w:rFonts w:ascii="Times New Roman" w:hAnsi="Times New Roman"/>
          <w:sz w:val="24"/>
          <w:szCs w:val="24"/>
        </w:rPr>
        <w:t>, университет занимает четвертую позицию по региону. Существует существенный резерв по усилению представительства университета в международных базах данных.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В 2018 году (по состоянию на 17.04</w:t>
      </w:r>
      <w:r>
        <w:rPr>
          <w:rFonts w:ascii="Times New Roman" w:hAnsi="Times New Roman"/>
          <w:sz w:val="24"/>
          <w:szCs w:val="24"/>
        </w:rPr>
        <w:t>.</w:t>
      </w:r>
      <w:r w:rsidRPr="001511F5">
        <w:rPr>
          <w:rFonts w:ascii="Times New Roman" w:hAnsi="Times New Roman"/>
          <w:sz w:val="24"/>
          <w:szCs w:val="24"/>
        </w:rPr>
        <w:t>) заключено 72 договора</w:t>
      </w:r>
      <w:r>
        <w:rPr>
          <w:rFonts w:ascii="Times New Roman" w:hAnsi="Times New Roman"/>
          <w:sz w:val="24"/>
          <w:szCs w:val="24"/>
        </w:rPr>
        <w:t xml:space="preserve"> на выполнение НИР. Общий объем заключенных</w:t>
      </w:r>
      <w:r w:rsidRPr="001511F5">
        <w:rPr>
          <w:rFonts w:ascii="Times New Roman" w:hAnsi="Times New Roman"/>
          <w:sz w:val="24"/>
          <w:szCs w:val="24"/>
        </w:rPr>
        <w:t xml:space="preserve"> договоров составил 34 364,0 тыс. руб., что превышает годовой объем выполненных </w:t>
      </w:r>
      <w:r>
        <w:rPr>
          <w:rFonts w:ascii="Times New Roman" w:hAnsi="Times New Roman"/>
          <w:sz w:val="24"/>
          <w:szCs w:val="24"/>
        </w:rPr>
        <w:t xml:space="preserve">научных </w:t>
      </w:r>
      <w:r w:rsidRPr="001511F5">
        <w:rPr>
          <w:rFonts w:ascii="Times New Roman" w:hAnsi="Times New Roman"/>
          <w:sz w:val="24"/>
          <w:szCs w:val="24"/>
        </w:rPr>
        <w:t>исследований за 2017г. (19 827,6 тыс. руб.) в 1.7 раза.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Научные исследования и разработки в 2018г. будут проводиться в рамках финансирования конкурсной части государственного задания; проектов фондов поддержки научной и научно-технической деятельности; международных проектов и программ, из средств хозяйствующих субъектов, местного бюджета и др. </w:t>
      </w:r>
    </w:p>
    <w:p w:rsidR="005E31B1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0B9">
        <w:rPr>
          <w:rFonts w:ascii="Times New Roman" w:hAnsi="Times New Roman"/>
          <w:sz w:val="24"/>
          <w:szCs w:val="24"/>
        </w:rPr>
        <w:t>Среди крупных заказчиков можно выделить Министерство образования и науки Российской Федерации; ФГБУ «Российский фонд фундаментальных исследований»; Администрации муниципальных районов Самарской области; ООО «Строй Арена»; Институт технологий и бизне</w:t>
      </w:r>
      <w:r>
        <w:rPr>
          <w:rFonts w:ascii="Times New Roman" w:hAnsi="Times New Roman"/>
          <w:sz w:val="24"/>
          <w:szCs w:val="24"/>
        </w:rPr>
        <w:t>са, Чехия, г. Чешские Будейовицы</w:t>
      </w:r>
      <w:r w:rsidRPr="001450B9">
        <w:rPr>
          <w:rFonts w:ascii="Times New Roman" w:hAnsi="Times New Roman"/>
          <w:sz w:val="24"/>
          <w:szCs w:val="24"/>
        </w:rPr>
        <w:t>; Санкт-Петербургское государственное унитарное предприятие «Санкт-Петербургский информационно-аналитический центр»; ООО «Самарский Стройфарфор»; ООО «Макдоналдс»; ООО «Самарский трикотаж»; ООО «Сервисная Группа Компаний «РЕГИОН»; ФГБОУ ВО «Башкирский государственный университет»; ФГАОУ ВО «Российский университет дружбы народов»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1450B9"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По источникам финансирования объемы распределились следующим образом: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511F5">
        <w:rPr>
          <w:rFonts w:ascii="Times New Roman" w:hAnsi="Times New Roman"/>
          <w:i/>
          <w:sz w:val="24"/>
          <w:szCs w:val="24"/>
        </w:rPr>
        <w:t>федеральный бюджет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Министерство образования и науки РФ – 29,1%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Российский фонд фундаментальных исследований – 4,7%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местный бюджет – 3,4%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средства организаций предпринимательского сектора – 32,6%</w:t>
      </w:r>
    </w:p>
    <w:p w:rsidR="005E31B1" w:rsidRPr="001511F5" w:rsidRDefault="005E31B1" w:rsidP="001511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средства организаций сектора высшего образования – 4,6%</w:t>
      </w:r>
    </w:p>
    <w:p w:rsidR="005E31B1" w:rsidRPr="001511F5" w:rsidRDefault="005E31B1" w:rsidP="001511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средства организаций государственного сектора - 10%</w:t>
      </w:r>
    </w:p>
    <w:p w:rsidR="005E31B1" w:rsidRPr="001511F5" w:rsidRDefault="005E31B1" w:rsidP="001511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средства иностранных источников – 13%</w:t>
      </w:r>
    </w:p>
    <w:p w:rsidR="005E31B1" w:rsidRPr="001511F5" w:rsidRDefault="005E31B1" w:rsidP="001511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 средства других источников – 2,6%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Структура распределения объемов финансирования по заключенным договорам на НИР (по состоянию на 17.04.2018г.) по институтам университета следующая: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Институт систем управления – 42,7%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Институт национальной экономики – 27,1%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НИИ регионального развития – 10,3%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Институт коммерции, маркетинга и сервиса – 6,3%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Институт экономики и управления на предприятии – 3,5%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Сызранский филиал –  3%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Институт  ЖКХ – 2,9%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Институт теоретической экономики и МЭО – 2,6%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Институт права – 1,6%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Направления развития научной деятельности университета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Для достижения цели устойчивого развития университета в долгосрочной перспективе необходимо опережающее развитие научных исследований по приоритетным направлениям науки и технологии, а также в интересах регионального развития. Достижение поставленной цели требует решения следующих задач: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 - повышение результативности функционирования научных школ университета и создание центров превосходства на основе опережающего развития научно-исследовательских работ фундаментального и прикладного характера по приоритетным направлениям развития науки и технологии;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- повышение публикационной активности научно-педагогических работников, аспирантов и студентов университета в высокорейтинговых российских и зарубежных журналах;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- развитие сетевой интеграции с ведущими российскими и зарубежными научными центрами, крупным</w:t>
      </w:r>
      <w:bookmarkStart w:id="0" w:name="_GoBack"/>
      <w:bookmarkEnd w:id="0"/>
      <w:r w:rsidRPr="001511F5">
        <w:rPr>
          <w:rFonts w:ascii="Times New Roman" w:hAnsi="Times New Roman"/>
          <w:sz w:val="24"/>
          <w:szCs w:val="24"/>
        </w:rPr>
        <w:t xml:space="preserve">и международными компаниями, предприятиями и органами власти Самарской области;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- совершенствование инновационной и научной инфраструктуры университета, выстраивание эффективного взаимодействия с инновационными структурами Самарской области; развитие компетенций НПР в сфере научно-исследовательской и инновационной деятельности.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Для решения поставленных задач в области развития научно-исследовательской и инновационной деятельности университета необходимо осуществление следующих основных блоков мероприятий.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Проведение аудита компетенций научных школ университета и определение перспектив развития с ориентацией на приоритеты, обозначенные федеральными и региональными государственными программами.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В качестве базовых структур, обеспечивающих развитие научных исследований университета, выступают научные школы. Перспективы функционирования научных школ с учетом глобальных и национальных трендов изменений и возможности встраивания в новую научную повестку представлены в Приложении.</w:t>
      </w:r>
    </w:p>
    <w:p w:rsidR="005E31B1" w:rsidRPr="001511F5" w:rsidRDefault="005E31B1" w:rsidP="00151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Все научные школы университета имеют историю, высокий уровень публикационной активности, участвуют в выполнении научных исследований, учеными научных школ ежегодно готовятся аспиранты и докторанты, ведется научная работа со студентами университета.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В качестве сдерживающих факторов развития научных школ СГЭУ можно отметить следующие:</w:t>
      </w:r>
    </w:p>
    <w:p w:rsidR="005E31B1" w:rsidRPr="001511F5" w:rsidRDefault="005E31B1" w:rsidP="001511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31B1" w:rsidRDefault="005E31B1" w:rsidP="001511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В области выполнения финансируемых НИР:</w:t>
      </w:r>
    </w:p>
    <w:p w:rsidR="005E31B1" w:rsidRPr="00490AA7" w:rsidRDefault="005E31B1" w:rsidP="001511F5">
      <w:pPr>
        <w:numPr>
          <w:ilvl w:val="0"/>
          <w:numId w:val="4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90AA7">
        <w:rPr>
          <w:rFonts w:ascii="Times New Roman" w:hAnsi="Times New Roman"/>
          <w:sz w:val="24"/>
          <w:szCs w:val="24"/>
        </w:rPr>
        <w:t>низкий уровень участия в подаче заявок на конкурсы грантов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90AA7">
        <w:rPr>
          <w:rFonts w:ascii="Times New Roman" w:hAnsi="Times New Roman"/>
          <w:sz w:val="24"/>
          <w:szCs w:val="24"/>
        </w:rPr>
        <w:t>недостаточное качество заявок, подаваемых на конкурсы грантов, в т.ч. недостаточный учет приоритетных направлений развития науки и техники в РФ;</w:t>
      </w:r>
    </w:p>
    <w:p w:rsidR="005E31B1" w:rsidRPr="001511F5" w:rsidRDefault="005E31B1" w:rsidP="001511F5">
      <w:pPr>
        <w:numPr>
          <w:ilvl w:val="0"/>
          <w:numId w:val="4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низкая </w:t>
      </w:r>
      <w:r>
        <w:rPr>
          <w:rFonts w:ascii="Times New Roman" w:hAnsi="Times New Roman"/>
          <w:sz w:val="24"/>
          <w:szCs w:val="24"/>
        </w:rPr>
        <w:t>активность</w:t>
      </w:r>
      <w:r w:rsidRPr="001511F5">
        <w:rPr>
          <w:rFonts w:ascii="Times New Roman" w:hAnsi="Times New Roman"/>
          <w:sz w:val="24"/>
          <w:szCs w:val="24"/>
        </w:rPr>
        <w:t xml:space="preserve"> участия в международных научных проектах (кроме отдельных научных школ);</w:t>
      </w:r>
    </w:p>
    <w:p w:rsidR="005E31B1" w:rsidRPr="001511F5" w:rsidRDefault="005E31B1" w:rsidP="001511F5">
      <w:pPr>
        <w:numPr>
          <w:ilvl w:val="0"/>
          <w:numId w:val="4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отсутствие выстроенной системы взаимодействия с представителями бизнес-сообщества, как результат - слабое понимание потребности в исследованиях со стороны потенциальных заказчиков;</w:t>
      </w:r>
    </w:p>
    <w:p w:rsidR="005E31B1" w:rsidRPr="001511F5" w:rsidRDefault="005E31B1" w:rsidP="001511F5">
      <w:pPr>
        <w:numPr>
          <w:ilvl w:val="0"/>
          <w:numId w:val="4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низкий уровень коммерциализации результатов научных исследований и разработок;</w:t>
      </w:r>
    </w:p>
    <w:p w:rsidR="005E31B1" w:rsidRPr="001511F5" w:rsidRDefault="005E31B1" w:rsidP="001511F5">
      <w:pPr>
        <w:numPr>
          <w:ilvl w:val="0"/>
          <w:numId w:val="4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недостаточно активное привлечение к выполнению НИР молодых исследователей (аспирантов, студентов);</w:t>
      </w:r>
    </w:p>
    <w:p w:rsidR="005E31B1" w:rsidRPr="001511F5" w:rsidRDefault="005E31B1" w:rsidP="001511F5">
      <w:pPr>
        <w:numPr>
          <w:ilvl w:val="0"/>
          <w:numId w:val="4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высокая конкуренция со стороны региональных вузов с «особым статусом». </w:t>
      </w:r>
    </w:p>
    <w:p w:rsidR="005E31B1" w:rsidRPr="001511F5" w:rsidRDefault="005E31B1" w:rsidP="001511F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В области публикационной активности:</w:t>
      </w:r>
    </w:p>
    <w:p w:rsidR="005E31B1" w:rsidRPr="001511F5" w:rsidRDefault="005E31B1" w:rsidP="001511F5">
      <w:pPr>
        <w:numPr>
          <w:ilvl w:val="0"/>
          <w:numId w:val="4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низкая публикационная активность в зарубежных изданиях;</w:t>
      </w:r>
    </w:p>
    <w:p w:rsidR="005E31B1" w:rsidRPr="001511F5" w:rsidRDefault="005E31B1" w:rsidP="001511F5">
      <w:pPr>
        <w:numPr>
          <w:ilvl w:val="0"/>
          <w:numId w:val="4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основная масса публикаций членов научной ш</w:t>
      </w:r>
      <w:r>
        <w:rPr>
          <w:rFonts w:ascii="Times New Roman" w:hAnsi="Times New Roman"/>
          <w:sz w:val="24"/>
          <w:szCs w:val="24"/>
        </w:rPr>
        <w:t xml:space="preserve">колы приходится на издания РИНЦ, </w:t>
      </w:r>
      <w:r w:rsidRPr="001511F5">
        <w:rPr>
          <w:rFonts w:ascii="Times New Roman" w:hAnsi="Times New Roman"/>
          <w:sz w:val="24"/>
          <w:szCs w:val="24"/>
        </w:rPr>
        <w:t>при этом показатели публикационной активности в изданиях</w:t>
      </w:r>
      <w:r>
        <w:rPr>
          <w:rFonts w:ascii="Times New Roman" w:hAnsi="Times New Roman"/>
          <w:sz w:val="24"/>
          <w:szCs w:val="24"/>
        </w:rPr>
        <w:t xml:space="preserve">, входящих в Ядро РИНЦ, </w:t>
      </w:r>
      <w:r w:rsidRPr="001511F5">
        <w:rPr>
          <w:rFonts w:ascii="Times New Roman" w:hAnsi="Times New Roman"/>
          <w:sz w:val="24"/>
          <w:szCs w:val="24"/>
        </w:rPr>
        <w:t>остаются крайне низкими.</w:t>
      </w:r>
    </w:p>
    <w:p w:rsidR="005E31B1" w:rsidRPr="001511F5" w:rsidRDefault="005E31B1" w:rsidP="001511F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В области подготовки научно-педагогических кадров:</w:t>
      </w:r>
    </w:p>
    <w:p w:rsidR="005E31B1" w:rsidRPr="001511F5" w:rsidRDefault="005E31B1" w:rsidP="001511F5">
      <w:pPr>
        <w:numPr>
          <w:ilvl w:val="0"/>
          <w:numId w:val="4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низкий уровень защит диссертаций в срок;</w:t>
      </w:r>
    </w:p>
    <w:p w:rsidR="005E31B1" w:rsidRPr="001511F5" w:rsidRDefault="005E31B1" w:rsidP="001511F5">
      <w:pPr>
        <w:numPr>
          <w:ilvl w:val="0"/>
          <w:numId w:val="4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недостаточный уровень вовлеченности аспирантов в выполнение финансируемых научных исследований и участия в грантах;</w:t>
      </w:r>
    </w:p>
    <w:p w:rsidR="005E31B1" w:rsidRPr="001511F5" w:rsidRDefault="005E31B1" w:rsidP="001511F5">
      <w:pPr>
        <w:numPr>
          <w:ilvl w:val="0"/>
          <w:numId w:val="4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недостаточно активное привлечение студентов в аспирантуру.</w:t>
      </w:r>
    </w:p>
    <w:p w:rsidR="005E31B1" w:rsidRPr="001511F5" w:rsidRDefault="005E31B1" w:rsidP="001511F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В качестве стратегических направлений изменений научных школ СГЭУ на период 2018-2024 гг. обозначены следующие инициативы.</w:t>
      </w:r>
    </w:p>
    <w:p w:rsidR="005E31B1" w:rsidRPr="001511F5" w:rsidRDefault="005E31B1" w:rsidP="001511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31B1" w:rsidRPr="001511F5" w:rsidRDefault="005E31B1" w:rsidP="001511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 xml:space="preserve">Стратегические инициативы изменений </w:t>
      </w:r>
      <w:r w:rsidRPr="001511F5">
        <w:rPr>
          <w:rFonts w:ascii="Times New Roman" w:hAnsi="Times New Roman"/>
          <w:b/>
          <w:sz w:val="24"/>
          <w:szCs w:val="24"/>
          <w:u w:val="single"/>
        </w:rPr>
        <w:t>в выполнении НИР</w:t>
      </w:r>
      <w:r w:rsidRPr="001511F5">
        <w:rPr>
          <w:rFonts w:ascii="Times New Roman" w:hAnsi="Times New Roman"/>
          <w:b/>
          <w:sz w:val="24"/>
          <w:szCs w:val="24"/>
        </w:rPr>
        <w:t xml:space="preserve"> на 2018-2024гг: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1) Ориентация фундаментальных и прикладных научных исследований на приоритеты, обозначенны</w:t>
      </w:r>
      <w:r>
        <w:rPr>
          <w:rFonts w:ascii="Times New Roman" w:hAnsi="Times New Roman"/>
          <w:sz w:val="24"/>
          <w:szCs w:val="24"/>
        </w:rPr>
        <w:t>е</w:t>
      </w:r>
      <w:r w:rsidRPr="001511F5">
        <w:rPr>
          <w:rFonts w:ascii="Times New Roman" w:hAnsi="Times New Roman"/>
          <w:sz w:val="24"/>
          <w:szCs w:val="24"/>
        </w:rPr>
        <w:t xml:space="preserve"> федеральными и региональными государственными программами, потребности реального сектора экономики (прежде всего, потребности приоритетн</w:t>
      </w:r>
      <w:r>
        <w:rPr>
          <w:rFonts w:ascii="Times New Roman" w:hAnsi="Times New Roman"/>
          <w:sz w:val="24"/>
          <w:szCs w:val="24"/>
        </w:rPr>
        <w:t>ых кластеров Самарской области).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11F5">
        <w:rPr>
          <w:rFonts w:ascii="Times New Roman" w:hAnsi="Times New Roman"/>
          <w:sz w:val="24"/>
          <w:szCs w:val="24"/>
        </w:rPr>
        <w:t>) Активизация участия в конкурсах Минобрнауки России, конкурсах грантов, федеральных целевых программах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11F5">
        <w:rPr>
          <w:rFonts w:ascii="Times New Roman" w:hAnsi="Times New Roman"/>
          <w:sz w:val="24"/>
          <w:szCs w:val="24"/>
        </w:rPr>
        <w:t>) Активизация участия в тендерных процедурах по заказу органов государственной власти и местного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11F5">
        <w:rPr>
          <w:rFonts w:ascii="Times New Roman" w:hAnsi="Times New Roman"/>
          <w:sz w:val="24"/>
          <w:szCs w:val="24"/>
        </w:rPr>
        <w:t>) Активизация участия в зарубежных проектах (в т.ч. грантах)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511F5">
        <w:rPr>
          <w:rFonts w:ascii="Times New Roman" w:hAnsi="Times New Roman"/>
          <w:sz w:val="24"/>
          <w:szCs w:val="24"/>
        </w:rPr>
        <w:t>) Повышение качества подготовки заявок для участия в конкурсах и грантах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511F5">
        <w:rPr>
          <w:rFonts w:ascii="Times New Roman" w:hAnsi="Times New Roman"/>
          <w:sz w:val="24"/>
          <w:szCs w:val="24"/>
        </w:rPr>
        <w:t>) Развитие взаимодействия с ведущими российскими и зарубежными ВУЗами, научными институтами, предприятиями и бизнесом для проведения НИОКР и привлечения инвестиций и иных форм финансирования в научно-исследовательские проекты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511F5">
        <w:rPr>
          <w:rFonts w:ascii="Times New Roman" w:hAnsi="Times New Roman"/>
          <w:sz w:val="24"/>
          <w:szCs w:val="24"/>
        </w:rPr>
        <w:t>) Привлечение талантливых студентов и аспирантов к разработке и реализации прорывных научно-исследовательских проектов</w:t>
      </w:r>
      <w:r>
        <w:rPr>
          <w:rFonts w:ascii="Times New Roman" w:hAnsi="Times New Roman"/>
          <w:sz w:val="24"/>
          <w:szCs w:val="24"/>
        </w:rPr>
        <w:t>.</w:t>
      </w:r>
    </w:p>
    <w:p w:rsidR="005E31B1" w:rsidRDefault="005E31B1" w:rsidP="001511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31B1" w:rsidRPr="001511F5" w:rsidRDefault="005E31B1" w:rsidP="001511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 xml:space="preserve">Стратегические инициативы изменений в </w:t>
      </w:r>
      <w:r w:rsidRPr="001511F5">
        <w:rPr>
          <w:rFonts w:ascii="Times New Roman" w:hAnsi="Times New Roman"/>
          <w:b/>
          <w:sz w:val="24"/>
          <w:szCs w:val="24"/>
          <w:u w:val="single"/>
        </w:rPr>
        <w:t>публикационной активности</w:t>
      </w:r>
      <w:r w:rsidRPr="001511F5">
        <w:rPr>
          <w:rFonts w:ascii="Times New Roman" w:hAnsi="Times New Roman"/>
          <w:b/>
          <w:sz w:val="24"/>
          <w:szCs w:val="24"/>
        </w:rPr>
        <w:t xml:space="preserve"> на 2018-2024гг.: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</w:rPr>
        <w:t>Изменение качественного уровня научных публикаций членов школы/центра путем их переориентации с изданий РИНЦ на издания ВАК, Scopus, WoS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2) Активизация участия членов научной школы в международных конференциях Scopus, WoS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sz w:val="24"/>
          <w:szCs w:val="24"/>
        </w:rPr>
        <w:t>с последующей публикацией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3) Развитие межвузовского сотрудничества и взаимодействия с профильными кафедрами (по направлениям работы школы/центра) в плане проведения совместных научных исследований и публикации их результатов.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4) Повышение уровня междисциплинарности проводимых исследований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5) Активное взаимодействие с общероссийскими общественными организациями с целью развития плодотворного сотрудничества с профессиональными сообществами других регионов и стран, а также с международными </w:t>
      </w:r>
      <w:r>
        <w:rPr>
          <w:rFonts w:ascii="Times New Roman" w:hAnsi="Times New Roman"/>
          <w:sz w:val="24"/>
          <w:szCs w:val="24"/>
        </w:rPr>
        <w:t>профессиональными организациями.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Проведение</w:t>
      </w:r>
      <w:r w:rsidRPr="001511F5">
        <w:rPr>
          <w:rFonts w:ascii="Times New Roman" w:hAnsi="Times New Roman"/>
          <w:sz w:val="24"/>
          <w:szCs w:val="24"/>
        </w:rPr>
        <w:t xml:space="preserve"> на базе вуза крупных международных научных конференций и форумов по актуальным направления</w:t>
      </w:r>
      <w:r>
        <w:rPr>
          <w:rFonts w:ascii="Times New Roman" w:hAnsi="Times New Roman"/>
          <w:sz w:val="24"/>
          <w:szCs w:val="24"/>
        </w:rPr>
        <w:t>м</w:t>
      </w:r>
      <w:r w:rsidRPr="001511F5">
        <w:rPr>
          <w:rFonts w:ascii="Times New Roman" w:hAnsi="Times New Roman"/>
          <w:sz w:val="24"/>
          <w:szCs w:val="24"/>
        </w:rPr>
        <w:t xml:space="preserve"> исследований научных школ с привлечением ведущих ученых и специалисто</w:t>
      </w:r>
      <w:r>
        <w:rPr>
          <w:rFonts w:ascii="Times New Roman" w:hAnsi="Times New Roman"/>
          <w:sz w:val="24"/>
          <w:szCs w:val="24"/>
        </w:rPr>
        <w:t>в с целью обмена опытом.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7) Привлечение к работе научных школ ведущих ученых РФ и мира.</w:t>
      </w:r>
    </w:p>
    <w:p w:rsidR="005E31B1" w:rsidRDefault="005E31B1" w:rsidP="001511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31B1" w:rsidRPr="001511F5" w:rsidRDefault="005E31B1" w:rsidP="001511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 xml:space="preserve">Стратегические инициативы изменений в </w:t>
      </w:r>
      <w:r w:rsidRPr="001511F5">
        <w:rPr>
          <w:rFonts w:ascii="Times New Roman" w:hAnsi="Times New Roman"/>
          <w:b/>
          <w:sz w:val="24"/>
          <w:szCs w:val="24"/>
          <w:u w:val="single"/>
        </w:rPr>
        <w:t>подготовке научно-педагогических кадров</w:t>
      </w:r>
      <w:r w:rsidRPr="001511F5">
        <w:rPr>
          <w:rFonts w:ascii="Times New Roman" w:hAnsi="Times New Roman"/>
          <w:b/>
          <w:sz w:val="24"/>
          <w:szCs w:val="24"/>
        </w:rPr>
        <w:t xml:space="preserve"> на 2018-2024гг.: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1) Активизация привлечения магистрантов в аспирантуру.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2) Усиление работы студенческих научных кружков при научных школах/центрах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3) Активизация научного руководства преподавателей школы/центра талантливыми студентами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4) Активизация профориентационной деятельности в учебных заведениях Самарской области с целью привлечения студентов в аспирантуру СГЭУ</w:t>
      </w:r>
      <w:r>
        <w:rPr>
          <w:rFonts w:ascii="Times New Roman" w:hAnsi="Times New Roman"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2. Повышение публикационной активности НПР университета.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Перспективы развития данного направления основываются на обеспечении следующих условий: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- повышение качества проводимых научных исследований, позволяющих публиковать результаты в высокорейтинговых изданиях и иметь высокий уровень цитирования публикаций;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- активизация научной коллоборации как внутри России, так и на международном уровне с ведущими университетами  и научными центрами;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- повышение количества междисциплинарных исследований в смежных областях.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Мероприятия блока направлены на повышение научной результативности университета, а также на повышение узнаваемости университета в международной научно-исследовательской и образовательной сфере.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Планируется дальнейшее развитие Центра публикационной активности с координирующими функциями по увеличению количества и уровня публикаций в журналах, индексируемых в информационно-аналитических системах (ИАС) WoS и Scopus, в функции которого входит:  повышение качества взаимодействия с издательствами, входящими в ИОС Web of Science и Scopus; экспертиза работ, подготовленных для публикации в изданиях индексируемых в  Web of Science и Scopus с целью их последующей доработки в соответствии с требованиями изданий; систематическое обучение НПР основам подготовки рукописи в изданиях, входящих в Web of Science и Scopus.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Внедрение стимулирующих мер, направленных на повышение публикационной активности в высокорейтинговых научных изданиях, включая меры морального поощрения, среди которых - ежеквартальное формирование рейтинга авторов, публикующих наиболее востребованные работы, с последующим размещением информации об авторах и их публикациях на сайте университета.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В целях повышения международного научного позиционирования университета планируется проведение не менее двух крупных международных конференций с последующим размещением материалов конференций в базе данных Web of Science и Scopus. Предполагается привлекать к организации этих конференций авторитетные международные профессиональные организации и ведущие университеты.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Указанный комплекс мероприятий позволит ежегодно увеличивать число публикаций на 20-40% в изданиях, индексируемых в ИАС Web of Science и Scopus и выйти на запланированные показатели к 2024 г. Целесообразно обязательное освоение компетенций по подготовке научных статей в высокорейтинговых международных изданиях  магистрантами и аспирантами университета.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 xml:space="preserve">3. Повышение эффективности проведения исследований национального и мирового уровня. 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Формирование тематики и проведение научных исследований национального и мирового уровня должно осуществляться, как с опорой на ведущих ученых СГЭУ, так и в кооперации с ведущими российскими и зарубежными научными коллективами. Достижению данной цели будет способствовать участие коллективов исследователей и разработчиков СГЭУ в кооперационных цепочках с национальными и международными партнерами. Другой формой расширения квалификационного профиля университета может стать приглашение уже сформировавшихся коллективов, работающих на уровне национальных или мировых лидеров в важных для университета направлениях. В рамках этого блока мероприятий целесообразно, в первую очередь, создание ряда центров превосходства с целью проведения прорывных научных и научно-технологических исследований</w:t>
      </w:r>
      <w:r>
        <w:rPr>
          <w:rFonts w:ascii="Times New Roman" w:hAnsi="Times New Roman"/>
          <w:sz w:val="24"/>
          <w:szCs w:val="24"/>
        </w:rPr>
        <w:t xml:space="preserve"> мирового уровня</w:t>
      </w:r>
      <w:r w:rsidRPr="001511F5">
        <w:rPr>
          <w:rFonts w:ascii="Times New Roman" w:hAnsi="Times New Roman"/>
          <w:sz w:val="24"/>
          <w:szCs w:val="24"/>
        </w:rPr>
        <w:t xml:space="preserve">: «Центр цифровой экономики и технологий «умного» города», «Центр «зеленой» экономики», «Центр изучения городской среды», «Центр развития партисипативного цифрового здравоохранения», «Центр развития технологий коммуникативно-эмоционального взаимодействия». </w:t>
      </w:r>
    </w:p>
    <w:p w:rsidR="005E31B1" w:rsidRPr="001511F5" w:rsidRDefault="005E31B1" w:rsidP="001511F5">
      <w:pPr>
        <w:pStyle w:val="Title"/>
        <w:spacing w:after="0"/>
        <w:ind w:firstLine="567"/>
        <w:rPr>
          <w:b w:val="0"/>
          <w:spacing w:val="0"/>
          <w:kern w:val="0"/>
          <w:sz w:val="24"/>
          <w:szCs w:val="24"/>
          <w:lang w:eastAsia="en-US"/>
        </w:rPr>
      </w:pPr>
      <w:r w:rsidRPr="001511F5">
        <w:rPr>
          <w:b w:val="0"/>
          <w:spacing w:val="0"/>
          <w:kern w:val="0"/>
          <w:sz w:val="24"/>
          <w:szCs w:val="24"/>
          <w:lang w:eastAsia="en-US"/>
        </w:rPr>
        <w:t xml:space="preserve">Миссия </w:t>
      </w:r>
      <w:r w:rsidRPr="001511F5">
        <w:rPr>
          <w:spacing w:val="0"/>
          <w:kern w:val="0"/>
          <w:sz w:val="24"/>
          <w:szCs w:val="24"/>
          <w:lang w:eastAsia="en-US"/>
        </w:rPr>
        <w:t>Центра цифровой экономики и технологий «умного» города</w:t>
      </w:r>
      <w:r>
        <w:rPr>
          <w:spacing w:val="0"/>
          <w:kern w:val="0"/>
          <w:sz w:val="24"/>
          <w:szCs w:val="24"/>
          <w:lang w:eastAsia="en-US"/>
        </w:rPr>
        <w:t xml:space="preserve"> </w:t>
      </w:r>
      <w:r w:rsidRPr="009739F2">
        <w:rPr>
          <w:b w:val="0"/>
          <w:spacing w:val="0"/>
          <w:kern w:val="0"/>
          <w:sz w:val="24"/>
          <w:szCs w:val="24"/>
          <w:lang w:eastAsia="en-US"/>
        </w:rPr>
        <w:t>(научный руководитель проф. Погорелова Е.В.)</w:t>
      </w:r>
      <w:r w:rsidRPr="001511F5">
        <w:rPr>
          <w:b w:val="0"/>
          <w:spacing w:val="0"/>
          <w:kern w:val="0"/>
          <w:sz w:val="24"/>
          <w:szCs w:val="24"/>
          <w:lang w:eastAsia="en-US"/>
        </w:rPr>
        <w:t xml:space="preserve"> направлена на проведение и коммерциализацию конкурентоспособных на глобальном и национальном уровнях научных исследований по сквозным технологиям цифровой экономики.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Основные направления научных исследований центра связаны с  моделированием цифровых технологий «умного» города на основе искусственного интеллекта; развитием цифрового эконометрического инструментария эволюционного моделирования динамики объектов мезо- и микро</w:t>
      </w:r>
      <w:r w:rsidRPr="001511F5">
        <w:rPr>
          <w:rFonts w:ascii="Times New Roman" w:hAnsi="Times New Roman"/>
          <w:sz w:val="24"/>
          <w:szCs w:val="24"/>
        </w:rPr>
        <w:softHyphen/>
        <w:t>уровней экономики; формированием цифровых экосистем для обеспечения потребностей граждан, бизнеса и власти; развитием методологии исследования и формирования компетенций цифровой экономики.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Целью создания </w:t>
      </w:r>
      <w:r w:rsidRPr="001511F5">
        <w:rPr>
          <w:rFonts w:ascii="Times New Roman" w:hAnsi="Times New Roman"/>
          <w:b/>
          <w:sz w:val="24"/>
          <w:szCs w:val="24"/>
        </w:rPr>
        <w:t>Центра «зеленой» экономики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39F2">
        <w:rPr>
          <w:rFonts w:ascii="Times New Roman" w:hAnsi="Times New Roman"/>
          <w:sz w:val="24"/>
          <w:szCs w:val="24"/>
        </w:rPr>
        <w:t>(научный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39F2"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39F2">
        <w:rPr>
          <w:rFonts w:ascii="Times New Roman" w:hAnsi="Times New Roman"/>
          <w:sz w:val="24"/>
          <w:szCs w:val="24"/>
        </w:rPr>
        <w:t>Розенберг</w:t>
      </w:r>
      <w:r>
        <w:rPr>
          <w:rFonts w:ascii="Times New Roman" w:hAnsi="Times New Roman"/>
          <w:sz w:val="24"/>
          <w:szCs w:val="24"/>
        </w:rPr>
        <w:t xml:space="preserve"> Г.С.)</w:t>
      </w:r>
      <w:r w:rsidRPr="009739F2">
        <w:rPr>
          <w:rFonts w:ascii="Times New Roman" w:hAnsi="Times New Roman"/>
          <w:sz w:val="24"/>
          <w:szCs w:val="24"/>
        </w:rPr>
        <w:t xml:space="preserve">  </w:t>
      </w:r>
      <w:r w:rsidRPr="001511F5">
        <w:rPr>
          <w:rFonts w:ascii="Times New Roman" w:hAnsi="Times New Roman"/>
          <w:sz w:val="24"/>
          <w:szCs w:val="24"/>
        </w:rPr>
        <w:t xml:space="preserve">является разработка научно-обоснованных механизмов и технологий обеспечения безопасности устойчивого развития общества в благоприятной среде обитания, в комфортных условиях для увеличения населения и его жизнедеятельности, для обеспечения охраны биоразнообразия в природных ресурсах, в предотвращении техногенных катастроф и аварий.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В перспективной работе Центра выделено два магистральных направления: развитие биоэкономики (это экономика, основанная на биотехнологиях) и проект "Зеленые" университеты".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По первому направлению планируется проведение исследований в направлении  экономики биотехнологий с целью обеспечения базы экономико-экологической устойчивости развития региональных социо-экономических систем. Второе направление исследований охватывает проблематику обеспечения развития «зеленых» университетов. Это комплексный проект, в реализации которого планируется задействовать  студентов и сотрудников разных  институтов и кафедр СГЭУ  и других университетов Самарской области и России. (Будет использоваться опыт МГУ). Суть проекта в том, что университет становится не только местом для обучения и исследований в экологической сфере, но и площадкой для реализации экологических инновационных проектов.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Миссия</w:t>
      </w:r>
      <w:r w:rsidRPr="001511F5">
        <w:rPr>
          <w:rFonts w:ascii="Times New Roman" w:hAnsi="Times New Roman"/>
          <w:b/>
          <w:sz w:val="24"/>
          <w:szCs w:val="24"/>
        </w:rPr>
        <w:t xml:space="preserve"> Центра изучения городской среды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39F2">
        <w:rPr>
          <w:rFonts w:ascii="Times New Roman" w:hAnsi="Times New Roman"/>
          <w:sz w:val="24"/>
          <w:szCs w:val="24"/>
        </w:rPr>
        <w:t>(научный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39F2"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Звоновский В.Б.)</w:t>
      </w:r>
      <w:r w:rsidRPr="009739F2">
        <w:rPr>
          <w:rFonts w:ascii="Times New Roman" w:hAnsi="Times New Roman"/>
          <w:sz w:val="24"/>
          <w:szCs w:val="24"/>
        </w:rPr>
        <w:t xml:space="preserve">  </w:t>
      </w:r>
      <w:r w:rsidRPr="001511F5">
        <w:rPr>
          <w:rFonts w:ascii="Times New Roman" w:hAnsi="Times New Roman"/>
          <w:b/>
          <w:sz w:val="24"/>
          <w:szCs w:val="24"/>
        </w:rPr>
        <w:t xml:space="preserve">– </w:t>
      </w:r>
      <w:r w:rsidRPr="001511F5">
        <w:rPr>
          <w:rFonts w:ascii="Times New Roman" w:hAnsi="Times New Roman"/>
          <w:sz w:val="24"/>
          <w:szCs w:val="24"/>
        </w:rPr>
        <w:t>способствовать переходу населения городов Российской Федерации в целом и Самарской области в частности к формированию новой городской среды – «умных городов» и адаптации различных социальных групп к жизни в них.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Основные направления научных исследований Центра: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1) Идеология «умных городов» предполагает амбивалентное принятие всеми без исключения группами населения города и полную их адаптацию к новым условиям жизни.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2) Необходимо изучить особенности сочетания новой городской среды и проживающих и действующих в ней социальных групп, а также инструменты и формы адаптации различных социальных групп к происходящим изменениям. Исследования должны проходить как в форме традиционных методов сбора данных (опрос, фокус-группа и пр.), так и инновационных методов (онлайн-сообщества).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3) Работа центра не будет ограничиваться только собственно исследованиями. Она будет направлена на формирование индивидуальных для ключевых социальных групп благоприятных условий вовлечения и повседневного проживания в изменяющихся условиях.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4) В центре внимания – привлечение данных различной природы к изучению форм реального повседневного поведения ключевых социальных групп городского населения.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Миссия</w:t>
      </w:r>
      <w:r w:rsidRPr="001511F5">
        <w:rPr>
          <w:rFonts w:ascii="Times New Roman" w:hAnsi="Times New Roman"/>
          <w:b/>
          <w:sz w:val="24"/>
          <w:szCs w:val="24"/>
        </w:rPr>
        <w:t xml:space="preserve"> Центра развития партисипативного цифрового здравоохранения </w:t>
      </w:r>
      <w:r w:rsidRPr="009739F2">
        <w:rPr>
          <w:rFonts w:ascii="Times New Roman" w:hAnsi="Times New Roman"/>
          <w:sz w:val="24"/>
          <w:szCs w:val="24"/>
        </w:rPr>
        <w:t>(научный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39F2"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Звоновский В.Б.)</w:t>
      </w:r>
      <w:r w:rsidRPr="009739F2">
        <w:rPr>
          <w:rFonts w:ascii="Times New Roman" w:hAnsi="Times New Roman"/>
          <w:sz w:val="24"/>
          <w:szCs w:val="24"/>
        </w:rPr>
        <w:t xml:space="preserve">  </w:t>
      </w:r>
      <w:r w:rsidRPr="001511F5">
        <w:rPr>
          <w:rFonts w:ascii="Times New Roman" w:hAnsi="Times New Roman"/>
          <w:b/>
          <w:sz w:val="24"/>
          <w:szCs w:val="24"/>
        </w:rPr>
        <w:t xml:space="preserve">– </w:t>
      </w:r>
      <w:r w:rsidRPr="001511F5">
        <w:rPr>
          <w:rFonts w:ascii="Times New Roman" w:hAnsi="Times New Roman"/>
          <w:sz w:val="24"/>
          <w:szCs w:val="24"/>
        </w:rPr>
        <w:t>способствовать переходу населения Российской Федерации в целом и Самарской области в частности к партисипативной, персонифицированной, профилактической  цифровой системе здравоохранения.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Основные направления научных исследований: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1) Идеология ЗОЖ и зоны ее компетенции. Эволюция медицинской компетентности населения в контексте повышения общей компьютерной грамотности. Потенциал использования мобильных приложений для мониторинга показателей здоровья и ведения ЗОЖ.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2) Терапевтические эффекты нарративной медицины и анализ нарративных текстов пациентов с помощью семантического ядра, разработанного в рамках Программы развития цифровой медицины, для стандартизации взаимодействия пациентов и врачей, пациентов и программ с использованием искусственного интеллекта.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3) Недостаток эмпирической информации о результатах использования мобильных приложений для мониторинга показателей здоровья и ведения ЗОЖ, что препятствует формированию практических рекомендаций по внедрению использования данных  приложений в повседневную практику населения.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4) Исследование образа жизни и его экономического эффекта в рамках медицинского страхования. Возможности использование big-data в страховой медицине.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Миссия</w:t>
      </w:r>
      <w:r w:rsidRPr="001511F5">
        <w:rPr>
          <w:rFonts w:ascii="Times New Roman" w:hAnsi="Times New Roman"/>
          <w:b/>
          <w:sz w:val="24"/>
          <w:szCs w:val="24"/>
        </w:rPr>
        <w:t xml:space="preserve"> Центра развития технологий коммуникативно-эмоционального взаимодействия </w:t>
      </w:r>
      <w:r w:rsidRPr="009739F2">
        <w:rPr>
          <w:rFonts w:ascii="Times New Roman" w:hAnsi="Times New Roman"/>
          <w:sz w:val="24"/>
          <w:szCs w:val="24"/>
        </w:rPr>
        <w:t>(научный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39F2"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Звоновский В.Б.)</w:t>
      </w:r>
      <w:r w:rsidRPr="009739F2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b/>
          <w:sz w:val="24"/>
          <w:szCs w:val="24"/>
        </w:rPr>
        <w:t xml:space="preserve">– </w:t>
      </w:r>
      <w:r w:rsidRPr="001511F5">
        <w:rPr>
          <w:rFonts w:ascii="Times New Roman" w:hAnsi="Times New Roman"/>
          <w:sz w:val="24"/>
          <w:szCs w:val="24"/>
        </w:rPr>
        <w:t xml:space="preserve">способствовать </w:t>
      </w:r>
      <w:r w:rsidRPr="001511F5">
        <w:rPr>
          <w:rFonts w:ascii="Times New Roman" w:hAnsi="Times New Roman"/>
          <w:i/>
          <w:sz w:val="24"/>
          <w:szCs w:val="24"/>
        </w:rPr>
        <w:t xml:space="preserve">развитию </w:t>
      </w:r>
      <w:r w:rsidRPr="001511F5">
        <w:rPr>
          <w:rFonts w:ascii="Times New Roman" w:hAnsi="Times New Roman"/>
          <w:sz w:val="24"/>
          <w:szCs w:val="24"/>
        </w:rPr>
        <w:t xml:space="preserve">у людей разных социально-демографических  групп к повышению собственной коммуникативной компетентности, </w:t>
      </w:r>
      <w:r w:rsidRPr="001511F5">
        <w:rPr>
          <w:rFonts w:ascii="Times New Roman" w:hAnsi="Times New Roman"/>
          <w:i/>
          <w:sz w:val="24"/>
          <w:szCs w:val="24"/>
        </w:rPr>
        <w:t>повышению продуктивности</w:t>
      </w:r>
      <w:r w:rsidRPr="001511F5">
        <w:rPr>
          <w:rFonts w:ascii="Times New Roman" w:hAnsi="Times New Roman"/>
          <w:sz w:val="24"/>
          <w:szCs w:val="24"/>
        </w:rPr>
        <w:t xml:space="preserve"> при выработке коллективных решений, </w:t>
      </w:r>
      <w:r w:rsidRPr="001511F5">
        <w:rPr>
          <w:rFonts w:ascii="Times New Roman" w:hAnsi="Times New Roman"/>
          <w:i/>
          <w:sz w:val="24"/>
          <w:szCs w:val="24"/>
        </w:rPr>
        <w:t>расширению применения принципов</w:t>
      </w:r>
      <w:r w:rsidRPr="001511F5">
        <w:rPr>
          <w:rFonts w:ascii="Times New Roman" w:hAnsi="Times New Roman"/>
          <w:sz w:val="24"/>
          <w:szCs w:val="24"/>
        </w:rPr>
        <w:t xml:space="preserve"> гуманистического и рационального отношения к решению собственных проблем, а также конкретных, специфических проблем отдельных индивидов и социальных групп. </w:t>
      </w:r>
    </w:p>
    <w:p w:rsidR="005E31B1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Основные направления научных исследований: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1) Разработка программного  комплекса «Образование как практика интеллектуального взаимодействия» для поиска видов эффективной мотивации к обучению, форм интерактивного освоения базовой общеобразовательной информации, навыков самостоятельного поиска информации и критического анализа ее источников.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2) Разработка технологий социального программирования цифровой среды при решении индивидуальных и социальных проблем в современном обществе. Определение и поиск урегулирования релевантных этических проблем.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3) Формирование пакета игровых технологий по проектированию и созданию социально-ориентированных проектов. Данная работа</w:t>
      </w:r>
      <w:r>
        <w:rPr>
          <w:rFonts w:ascii="Times New Roman" w:hAnsi="Times New Roman"/>
          <w:sz w:val="24"/>
          <w:szCs w:val="24"/>
        </w:rPr>
        <w:t xml:space="preserve"> будет иметь научно-практический</w:t>
      </w:r>
      <w:r w:rsidRPr="001511F5">
        <w:rPr>
          <w:rFonts w:ascii="Times New Roman" w:hAnsi="Times New Roman"/>
          <w:sz w:val="24"/>
          <w:szCs w:val="24"/>
        </w:rPr>
        <w:t xml:space="preserve"> характер, воплощаясь как в конкретную деятельность, так и в теоретические  обобщения относительно эффективности различных методов игровой мотивации в образовательном процессе.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4) Формирование банка данных визуальных эмоционально-творческих инструментов развития городской среды, теоретическая и практически апробация социальной эффективности эстетического и эмоционального воздействия средовых факторов на поведение населения.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Style w:val="s21"/>
          <w:rFonts w:ascii="Times New Roman" w:hAnsi="Times New Roman"/>
          <w:b w:val="0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По каждому из направлений создания центров превосходства имеются сложившиеся научные коллективы с многолетними традициями и опыт взаимодействия с российскими и международными научными центрами. Так, например, центр «зеленой» экономики осуществляет тесное сотрудничество с </w:t>
      </w:r>
      <w:r w:rsidRPr="001511F5">
        <w:rPr>
          <w:rStyle w:val="FontStyle35"/>
        </w:rPr>
        <w:t xml:space="preserve">Институтом экологии Волжского бассейна (ИЭВБ РАН), </w:t>
      </w:r>
      <w:r w:rsidRPr="001511F5">
        <w:rPr>
          <w:rStyle w:val="FontStyle35"/>
          <w:spacing w:val="-2"/>
        </w:rPr>
        <w:t xml:space="preserve">Институтом экономических проблем им. Г.П. Лузина Кольского научного центра РАН, </w:t>
      </w:r>
      <w:r w:rsidRPr="001511F5">
        <w:rPr>
          <w:rStyle w:val="FontStyle35"/>
        </w:rPr>
        <w:t xml:space="preserve">Старооскольским технологическим институтом им. А.А. Угарова (филиал) Национального исследовательского технологического университета "МИСиС" и др. Ежегодно на базе университета проходит международная </w:t>
      </w:r>
      <w:r w:rsidRPr="001511F5">
        <w:rPr>
          <w:rFonts w:ascii="Times New Roman" w:hAnsi="Times New Roman"/>
          <w:sz w:val="24"/>
          <w:szCs w:val="24"/>
        </w:rPr>
        <w:t xml:space="preserve">конференция </w:t>
      </w:r>
      <w:r w:rsidRPr="001511F5">
        <w:rPr>
          <w:rStyle w:val="s21"/>
          <w:rFonts w:ascii="Times New Roman" w:hAnsi="Times New Roman"/>
          <w:b w:val="0"/>
          <w:caps/>
          <w:sz w:val="24"/>
          <w:szCs w:val="24"/>
        </w:rPr>
        <w:t xml:space="preserve"> </w:t>
      </w:r>
      <w:r w:rsidRPr="001511F5">
        <w:rPr>
          <w:rStyle w:val="s21"/>
          <w:rFonts w:ascii="Times New Roman" w:hAnsi="Times New Roman"/>
          <w:b w:val="0"/>
          <w:sz w:val="24"/>
          <w:szCs w:val="24"/>
        </w:rPr>
        <w:t xml:space="preserve">«Инновационные подходы к обеспечению устойчивого развития социо-эколого-экономических систем», в работе которой принимают участие ведущие ученые РФ и мира, научные труды коллектива центра ежегодно издаются в журналах, входящих в международные базы данные WoS  и </w:t>
      </w:r>
      <w:r w:rsidRPr="001511F5">
        <w:rPr>
          <w:rStyle w:val="s21"/>
          <w:rFonts w:ascii="Times New Roman" w:hAnsi="Times New Roman"/>
          <w:b w:val="0"/>
          <w:sz w:val="24"/>
          <w:szCs w:val="24"/>
          <w:lang w:val="en-US"/>
        </w:rPr>
        <w:t>Scopus</w:t>
      </w:r>
      <w:r w:rsidRPr="001511F5">
        <w:rPr>
          <w:rStyle w:val="s21"/>
          <w:rFonts w:ascii="Times New Roman" w:hAnsi="Times New Roman"/>
          <w:b w:val="0"/>
          <w:sz w:val="24"/>
          <w:szCs w:val="24"/>
        </w:rPr>
        <w:t>. Коллективом центра подготовлены и изданы научные монографии и учебные пособия, которые ежегодно становятся призерами российских и международных конкурсов научных и учебных изданий, основные из которых следующие: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11F5">
        <w:rPr>
          <w:rFonts w:ascii="Times New Roman" w:hAnsi="Times New Roman"/>
          <w:bCs/>
          <w:sz w:val="24"/>
          <w:szCs w:val="24"/>
        </w:rPr>
        <w:t xml:space="preserve">1. </w:t>
      </w:r>
      <w:r w:rsidRPr="001511F5">
        <w:rPr>
          <w:rFonts w:ascii="Times New Roman" w:hAnsi="Times New Roman"/>
          <w:b/>
          <w:bCs/>
          <w:sz w:val="24"/>
          <w:szCs w:val="24"/>
        </w:rPr>
        <w:t>Общая и прикладная экология</w:t>
      </w:r>
      <w:r w:rsidRPr="001511F5">
        <w:rPr>
          <w:rFonts w:ascii="Times New Roman" w:hAnsi="Times New Roman"/>
          <w:bCs/>
          <w:sz w:val="24"/>
          <w:szCs w:val="24"/>
        </w:rPr>
        <w:t xml:space="preserve"> : учебное пособие / Розенберг Г.С., Рянский Ф.Н., Лазарева Н.В., Саксонов С.В., Симонов Ю.В., Хасаев Г.Р.</w:t>
      </w:r>
      <w:r w:rsidRPr="00013C80">
        <w:rPr>
          <w:rFonts w:ascii="Times New Roman" w:hAnsi="Times New Roman"/>
          <w:bCs/>
          <w:sz w:val="24"/>
          <w:szCs w:val="24"/>
        </w:rPr>
        <w:t xml:space="preserve"> </w:t>
      </w:r>
      <w:r w:rsidRPr="001511F5">
        <w:rPr>
          <w:rFonts w:ascii="Times New Roman" w:hAnsi="Times New Roman"/>
          <w:bCs/>
          <w:sz w:val="24"/>
          <w:szCs w:val="24"/>
        </w:rPr>
        <w:t>–  Самара: Изд-во Самар. гос. экон. ун-та, 2016 (Номинация "Лучшее издание по естественным наукам" VI Дальневосточного регионального конкурса изданий высших учебных заведений "Университетская книга - 2017"; Номинация "Лучшее издание по естественнонаучным вопросам" Второго Международного отраслевого конкурса изданий для вузов "Университетская книга - 2017" по направлению "Здоровье и безопасность", Новосибирск).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11F5">
        <w:rPr>
          <w:rFonts w:ascii="Times New Roman" w:hAnsi="Times New Roman"/>
          <w:bCs/>
          <w:sz w:val="24"/>
          <w:szCs w:val="24"/>
        </w:rPr>
        <w:t xml:space="preserve">2. </w:t>
      </w:r>
      <w:r w:rsidRPr="001511F5">
        <w:rPr>
          <w:rFonts w:ascii="Times New Roman" w:hAnsi="Times New Roman"/>
          <w:b/>
          <w:bCs/>
          <w:sz w:val="24"/>
          <w:szCs w:val="24"/>
        </w:rPr>
        <w:t>Экологическое образование и образованность</w:t>
      </w:r>
      <w:r w:rsidRPr="001511F5">
        <w:rPr>
          <w:rFonts w:ascii="Times New Roman" w:hAnsi="Times New Roman"/>
          <w:bCs/>
          <w:sz w:val="24"/>
          <w:szCs w:val="24"/>
        </w:rPr>
        <w:t xml:space="preserve"> </w:t>
      </w:r>
      <w:r w:rsidRPr="001511F5">
        <w:rPr>
          <w:rFonts w:ascii="Times New Roman" w:hAnsi="Times New Roman"/>
          <w:b/>
          <w:bCs/>
          <w:sz w:val="24"/>
          <w:szCs w:val="24"/>
        </w:rPr>
        <w:t>- два "кита" устойчивого развития</w:t>
      </w:r>
      <w:r w:rsidRPr="001511F5">
        <w:rPr>
          <w:rFonts w:ascii="Times New Roman" w:hAnsi="Times New Roman"/>
          <w:bCs/>
          <w:sz w:val="24"/>
          <w:szCs w:val="24"/>
        </w:rPr>
        <w:t xml:space="preserve"> : монография / Розенберг Г.С., Гелашвили Д.Б., Хасаев Г.Р., Шляхтин Г.В., Кудинова Г.Э., Носкова О.Л., Рощевский Ю.К., Саксонов С.В., Сидоров А.А.,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1511F5">
        <w:rPr>
          <w:rFonts w:ascii="Times New Roman" w:hAnsi="Times New Roman"/>
          <w:bCs/>
          <w:sz w:val="24"/>
          <w:szCs w:val="24"/>
        </w:rPr>
        <w:t>Симонов Ю.В.</w:t>
      </w:r>
      <w:r w:rsidRPr="00013C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1511F5">
        <w:rPr>
          <w:rFonts w:ascii="Times New Roman" w:hAnsi="Times New Roman"/>
          <w:bCs/>
          <w:sz w:val="24"/>
          <w:szCs w:val="24"/>
        </w:rPr>
        <w:t xml:space="preserve"> Самара: Изд-во Самар. гос. экон. ун-та, 2014 (Номинация "Лучшее издание по естественнонаучным вопросам" I Международного отраслевого конкурса изданий для вузов "Университетская книга - 2015" по направлению "Здоровье и безопасность", Новосибирск).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11F5">
        <w:rPr>
          <w:rFonts w:ascii="Times New Roman" w:hAnsi="Times New Roman"/>
          <w:bCs/>
          <w:sz w:val="24"/>
          <w:szCs w:val="24"/>
        </w:rPr>
        <w:t xml:space="preserve">Изданиям присвоен гриф УМО РАЕ.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11F5">
        <w:rPr>
          <w:rFonts w:ascii="Times New Roman" w:hAnsi="Times New Roman"/>
          <w:bCs/>
          <w:sz w:val="24"/>
          <w:szCs w:val="24"/>
        </w:rPr>
        <w:t xml:space="preserve">3. </w:t>
      </w:r>
      <w:r w:rsidRPr="001511F5">
        <w:rPr>
          <w:rFonts w:ascii="Times New Roman" w:hAnsi="Times New Roman"/>
          <w:b/>
          <w:bCs/>
          <w:sz w:val="24"/>
          <w:szCs w:val="24"/>
        </w:rPr>
        <w:t>Розенберг Г.С., Краснощеков Г.П.</w:t>
      </w:r>
      <w:r w:rsidRPr="001511F5">
        <w:rPr>
          <w:rFonts w:ascii="Times New Roman" w:hAnsi="Times New Roman"/>
          <w:bCs/>
          <w:sz w:val="24"/>
          <w:szCs w:val="24"/>
        </w:rPr>
        <w:t xml:space="preserve"> Экология "в законе" (теоретические конструкции современной экологии в цитатах и афоризмах) : монография. Самара, 2016.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11F5">
        <w:rPr>
          <w:rFonts w:ascii="Times New Roman" w:hAnsi="Times New Roman"/>
          <w:bCs/>
          <w:sz w:val="24"/>
          <w:szCs w:val="24"/>
        </w:rPr>
        <w:t xml:space="preserve">4. </w:t>
      </w:r>
      <w:r w:rsidRPr="001511F5">
        <w:rPr>
          <w:rFonts w:ascii="Times New Roman" w:hAnsi="Times New Roman"/>
          <w:b/>
          <w:bCs/>
          <w:sz w:val="24"/>
          <w:szCs w:val="24"/>
        </w:rPr>
        <w:t>Розенберг Г.С.</w:t>
      </w:r>
      <w:r w:rsidRPr="001511F5">
        <w:rPr>
          <w:rFonts w:ascii="Times New Roman" w:hAnsi="Times New Roman"/>
          <w:bCs/>
          <w:sz w:val="24"/>
          <w:szCs w:val="24"/>
        </w:rPr>
        <w:t xml:space="preserve"> Портреты экологических систем (переводы в системе «наука – искусство») : монография. Самара: Изд-во Самар. гос. экон. ун-та, 2017.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Центр цифровой экономики и технологий «умного» города сотрудничает с ведущими предприятиями региона в области цифровых технологий, имеет опыт взаимодействия с международными организациями, занимающимися проблематикой развития «умных» городов, в частности совместно с Университетом Ниццы София-Антиполис как одним из лидеров по развитию цифровизации городов и регионов (4 позиция в рейтинге разработчиков технологий «умного» города в ЕС) планируется проведение совместных научных мероприятий по развитию тематики центра; совместно с Высшей школой бизнеса АRK (Швейцария) подготовлена заявка на получение гранта открытого швейцарского фонда </w:t>
      </w:r>
      <w:r w:rsidRPr="001511F5">
        <w:rPr>
          <w:rFonts w:ascii="Times New Roman" w:hAnsi="Times New Roman"/>
          <w:sz w:val="24"/>
          <w:szCs w:val="24"/>
          <w:lang w:val="en-US"/>
        </w:rPr>
        <w:t>Movetia</w:t>
      </w:r>
      <w:r w:rsidRPr="001511F5">
        <w:rPr>
          <w:rFonts w:ascii="Times New Roman" w:hAnsi="Times New Roman"/>
          <w:sz w:val="24"/>
          <w:szCs w:val="24"/>
        </w:rPr>
        <w:t xml:space="preserve"> - "Инновационное партнерство и новые идеи для мобильности" по тематике «умного» города (100 000 швейцарских франков). На основе проводимых исследований планируется повышение публикационной активности, подготовка и защита кандидатских диссертаций.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Центр изучения городской среды, Центр развития партисипативного цифрового здравоохранения и Центр развития технологий коммуникативно-эмоционального взаимодействия имеют опыт выполнения исследований в рамках грантов Российского фонда фундаментальных исследований, по заказу Министерства здравоохранения Самарской области.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4</w:t>
      </w:r>
      <w:r w:rsidRPr="001511F5">
        <w:rPr>
          <w:rFonts w:ascii="Times New Roman" w:hAnsi="Times New Roman"/>
          <w:b/>
          <w:sz w:val="24"/>
          <w:szCs w:val="24"/>
        </w:rPr>
        <w:t xml:space="preserve">. Повышение исследовательской и экспертной роли университета в решении региональных проблем.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Мероприятия блока направлены на повышение экспертной роли университета в разработке и реализации региональных проектов. В настоящее время представители университета активно участвуют в разработке стратегий социально-экономического развития муниципальных образований и городских округов, экспертизе региональных проектов в научно-технической и социальной сфере на привлеченной основе, а также непосредственно входят в состав ряда региональных советов. Создан и успешно функционирует НИИРР. Планируется усиление роли университета в экспертно-аналитическом сопровождении региональных проектов, расширение функций  коммуникативной площадки, на которой осуществляется диалог бизнеса, власти и науки по актуальным для региона и страны направлениям деятельности. Реализация мероприятий планируется с активным участием сотрудников НИИРР, формированием отраслевых экспертных групп и привлечением представителей бизнеса, органов власти, некоммерческих организаций; повышения качества информационного сопровождения разработки экспертно-аналитических, информационных материалов в области региональной экономики, политики, культуры и социальной сферы. Реализация мероприятий повысить имидж университета – как центра компетенций в области региональной экономики, права, социальной сферы, сервиса и туризма.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5. Развитие на базе университета центра коммерциализации и трансфера научных разработок университета.</w:t>
      </w:r>
      <w:r w:rsidRPr="001511F5">
        <w:rPr>
          <w:rFonts w:ascii="Times New Roman" w:hAnsi="Times New Roman"/>
          <w:sz w:val="24"/>
          <w:szCs w:val="24"/>
        </w:rPr>
        <w:t xml:space="preserve">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Мероприятие направлено на развитие механизмов коммерциализации результатов интеллектуальной деятельности; расширение сферы профессиональных контактов, организацию системы трансфера научной информации, продуктов и услуг в реальный сектор экономики и систему управления региона; взаимодействие с объектами национальной инфраструктуры инноваций; участие вуза в разработке и реализации региональных и муниципальных программ развития; активизацию участия вуза в федеральных и региональных программах поддержки инновационного предпринимательства. </w:t>
      </w:r>
    </w:p>
    <w:p w:rsidR="005E31B1" w:rsidRPr="001511F5" w:rsidRDefault="005E31B1" w:rsidP="00151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1F5">
        <w:rPr>
          <w:rFonts w:ascii="Times New Roman" w:hAnsi="Times New Roman"/>
          <w:sz w:val="24"/>
          <w:szCs w:val="24"/>
          <w:lang w:eastAsia="ru-RU"/>
        </w:rPr>
        <w:t>Задачи центра:</w:t>
      </w:r>
    </w:p>
    <w:p w:rsidR="005E31B1" w:rsidRPr="001511F5" w:rsidRDefault="005E31B1" w:rsidP="001511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494E53"/>
          <w:sz w:val="24"/>
          <w:szCs w:val="24"/>
          <w:lang w:eastAsia="ru-RU"/>
        </w:rPr>
      </w:pPr>
      <w:r w:rsidRPr="001511F5">
        <w:rPr>
          <w:rFonts w:ascii="Times New Roman" w:hAnsi="Times New Roman"/>
          <w:color w:val="000000"/>
          <w:sz w:val="24"/>
          <w:szCs w:val="24"/>
        </w:rPr>
        <w:t> мониторинг научной деятельности университета с целью выявления коммерчески перспективных научных разработок, инновационных технологий и решений;</w:t>
      </w:r>
    </w:p>
    <w:p w:rsidR="005E31B1" w:rsidRPr="001511F5" w:rsidRDefault="005E31B1" w:rsidP="001511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1F5">
        <w:rPr>
          <w:rFonts w:ascii="Times New Roman" w:hAnsi="Times New Roman"/>
          <w:sz w:val="24"/>
          <w:szCs w:val="24"/>
        </w:rPr>
        <w:t>содействие развитию сотрудничества с научными, исследовательскими организациями, промышленными и иными предприятиями и компаниями, органами власти;</w:t>
      </w:r>
    </w:p>
    <w:p w:rsidR="005E31B1" w:rsidRPr="001511F5" w:rsidRDefault="005E31B1" w:rsidP="001511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1F5">
        <w:rPr>
          <w:rFonts w:ascii="Times New Roman" w:hAnsi="Times New Roman"/>
          <w:sz w:val="24"/>
          <w:szCs w:val="24"/>
        </w:rPr>
        <w:t>создание и обеспечение деятельности информационно-аналитического портала научных и инновационных разработок университета;</w:t>
      </w:r>
    </w:p>
    <w:p w:rsidR="005E31B1" w:rsidRPr="001511F5" w:rsidRDefault="005E31B1" w:rsidP="001511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1F5">
        <w:rPr>
          <w:rFonts w:ascii="Times New Roman" w:hAnsi="Times New Roman"/>
          <w:sz w:val="24"/>
          <w:szCs w:val="24"/>
          <w:lang w:eastAsia="ru-RU"/>
        </w:rPr>
        <w:t>маркетинговые исследования потребности в научных разработках хозяйствующих субъектов и органов власти, формирование информационно-аналитических баз данных научных разработок университета,</w:t>
      </w:r>
      <w:r w:rsidRPr="001511F5">
        <w:rPr>
          <w:rFonts w:ascii="Times New Roman" w:hAnsi="Times New Roman"/>
          <w:sz w:val="24"/>
          <w:szCs w:val="24"/>
        </w:rPr>
        <w:t xml:space="preserve"> осуществление маркетинговой деятельности по продвижению наукоемкой продукции университета;</w:t>
      </w:r>
    </w:p>
    <w:p w:rsidR="005E31B1" w:rsidRPr="001511F5" w:rsidRDefault="005E31B1" w:rsidP="001511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1F5">
        <w:rPr>
          <w:rFonts w:ascii="Times New Roman" w:eastAsia="Arial Unicode MS" w:hAnsi="Times New Roman"/>
          <w:sz w:val="24"/>
          <w:szCs w:val="24"/>
          <w:shd w:val="clear" w:color="auto" w:fill="FFFFFF"/>
        </w:rPr>
        <w:t>привлечение студентов и творческой молодежи к активной научно-исследовательской деятельности,</w:t>
      </w:r>
      <w:r w:rsidRPr="001511F5">
        <w:rPr>
          <w:rFonts w:ascii="Times New Roman" w:hAnsi="Times New Roman"/>
          <w:sz w:val="24"/>
          <w:szCs w:val="24"/>
          <w:lang w:eastAsia="ru-RU"/>
        </w:rPr>
        <w:t xml:space="preserve"> координация деятельности молодежных инновационных центров, малых инновационных предприятий;</w:t>
      </w:r>
    </w:p>
    <w:p w:rsidR="005E31B1" w:rsidRPr="001511F5" w:rsidRDefault="005E31B1" w:rsidP="001511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1F5">
        <w:rPr>
          <w:rFonts w:ascii="Times New Roman" w:hAnsi="Times New Roman"/>
          <w:sz w:val="24"/>
          <w:szCs w:val="24"/>
          <w:lang w:eastAsia="ru-RU"/>
        </w:rPr>
        <w:t>содействие в подготовке технико-экономических обоснований и бизнес-планов проектов коммерциализации результатов научной деятельности;</w:t>
      </w:r>
    </w:p>
    <w:p w:rsidR="005E31B1" w:rsidRPr="001511F5" w:rsidRDefault="005E31B1" w:rsidP="001511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1F5">
        <w:rPr>
          <w:rFonts w:ascii="Times New Roman" w:hAnsi="Times New Roman"/>
          <w:sz w:val="24"/>
          <w:szCs w:val="24"/>
          <w:lang w:eastAsia="ru-RU"/>
        </w:rPr>
        <w:t>поиск инвесторов для коммерческой реализации результатов научной деятельности университета;</w:t>
      </w:r>
    </w:p>
    <w:p w:rsidR="005E31B1" w:rsidRPr="001511F5" w:rsidRDefault="005E31B1" w:rsidP="001511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1F5">
        <w:rPr>
          <w:rFonts w:ascii="Times New Roman" w:hAnsi="Times New Roman"/>
          <w:sz w:val="24"/>
          <w:szCs w:val="24"/>
          <w:lang w:eastAsia="ru-RU"/>
        </w:rPr>
        <w:t>проверка на соответствие формальным критериям и определение коммерческой перспективности идеи;</w:t>
      </w:r>
    </w:p>
    <w:p w:rsidR="005E31B1" w:rsidRPr="001511F5" w:rsidRDefault="005E31B1" w:rsidP="001511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1F5">
        <w:rPr>
          <w:rFonts w:ascii="Times New Roman" w:hAnsi="Times New Roman"/>
          <w:sz w:val="24"/>
          <w:szCs w:val="24"/>
          <w:lang w:eastAsia="ru-RU"/>
        </w:rPr>
        <w:t>управление процессом коммерциализации разработок н</w:t>
      </w:r>
      <w:r>
        <w:rPr>
          <w:rFonts w:ascii="Times New Roman" w:hAnsi="Times New Roman"/>
          <w:sz w:val="24"/>
          <w:szCs w:val="24"/>
          <w:lang w:eastAsia="ru-RU"/>
        </w:rPr>
        <w:t>аучных коллективов университета.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6.</w:t>
      </w:r>
      <w:r w:rsidRPr="001511F5">
        <w:rPr>
          <w:rFonts w:ascii="Times New Roman" w:hAnsi="Times New Roman"/>
          <w:sz w:val="24"/>
          <w:szCs w:val="24"/>
        </w:rPr>
        <w:t xml:space="preserve"> </w:t>
      </w:r>
      <w:r w:rsidRPr="001511F5">
        <w:rPr>
          <w:rFonts w:ascii="Times New Roman" w:hAnsi="Times New Roman"/>
          <w:b/>
          <w:sz w:val="24"/>
          <w:szCs w:val="24"/>
        </w:rPr>
        <w:t>Повышение эффективности научного взаимодействия вуза и предприятий региона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 Одной из важнейших приоритетных задач развития университета является кооперация вуза и организаций Самарской области при решении важнейших задач социально-экономического развития региона. Планируется расширение результативного участия научного коллектива университета в Федеральных целевых программах Министерства науки и высшего образования Российской Федерации, практики привлечения предприятий к созданию и внедрению в производство конкурентоспособных инновационных продуктов и новых технологий. Планируется повышение эффективности организационного взаимодействия и продвижения научной продукции университета с последующим выполнением НИР по заказу хозяйствующих субъектов и совместному участию в Федеральных и региональных программах, направленных на поддержку научного взаимодействия университетов и предприятий с целью разработки и внедрения наукоемких продуктов и технологий. Реализация мероприятий основывается на проведении систематического мониторинга потребностей в результатах исследований и разработок университета, обеспечении активного участия привлечения к разработкам университета студентов и аспирантов, формировании сети стратегических партнеров университета в целях эффективного использования научно-технического потенциала, что создаст условия для успешной коммерциализации научных разработок университета.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 xml:space="preserve">7. Создание на базе Коворкинг-центра СГЭУ Центра поддержки молодежных инновационных бизнес-идей и социальных инициатив. </w:t>
      </w:r>
    </w:p>
    <w:p w:rsidR="005E31B1" w:rsidRPr="001511F5" w:rsidRDefault="005E31B1" w:rsidP="00151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 xml:space="preserve">Функционал Центра - обеспечение информационной и организационной поддержки студенческим бизнес-командам, осуществление взаимодействия  студенческих инициатив и существующей инновационной инфраструктуры Самарской области. Студенческим командам должны оказываться образовательные и консультационные услуги по превращению идей в конкретные разработки, бизнес-проекты, собственную компанию. Задачами Центра должны стать поддержка и развитие научных и инновационных разработок студентов СГЭУ. Центр будет являться связующим звеном в продвижении научно-инновационных разработок университета и формировании предпринимательской и новаторской культуры среди студентов и НПР СГЭУ. Кроме того, важнейшей функцией Центра должно стать обеспечение выполнения научных исследований по заказу хозяйствующих субъектов, возникающих в результате тесного взаимодействия молодежного научного сообщества и потенциальных инвесторов или заказчиков научных и инновационных разработок.  </w:t>
      </w:r>
    </w:p>
    <w:p w:rsidR="005E31B1" w:rsidRPr="001511F5" w:rsidRDefault="005E31B1" w:rsidP="001511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31B1" w:rsidRPr="001511F5" w:rsidRDefault="005E31B1" w:rsidP="001511F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11F5">
        <w:rPr>
          <w:rFonts w:ascii="Times New Roman" w:hAnsi="Times New Roman"/>
          <w:b/>
          <w:sz w:val="24"/>
          <w:szCs w:val="24"/>
        </w:rPr>
        <w:t>Показатели перспективного плана развития научной деятельности университета.</w:t>
      </w:r>
    </w:p>
    <w:p w:rsidR="005E31B1" w:rsidRPr="001511F5" w:rsidRDefault="005E31B1" w:rsidP="001511F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Основой формирования показателей научного развития университета явля</w:t>
      </w:r>
      <w:r>
        <w:rPr>
          <w:rFonts w:ascii="Times New Roman" w:hAnsi="Times New Roman"/>
          <w:sz w:val="24"/>
          <w:szCs w:val="24"/>
        </w:rPr>
        <w:t>ю</w:t>
      </w:r>
      <w:r w:rsidRPr="001511F5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программы</w:t>
      </w:r>
      <w:r w:rsidRPr="001511F5">
        <w:rPr>
          <w:rFonts w:ascii="Times New Roman" w:hAnsi="Times New Roman"/>
          <w:sz w:val="24"/>
          <w:szCs w:val="24"/>
        </w:rPr>
        <w:t xml:space="preserve"> развития научных школ</w:t>
      </w:r>
      <w:r>
        <w:rPr>
          <w:rFonts w:ascii="Times New Roman" w:hAnsi="Times New Roman"/>
          <w:sz w:val="24"/>
          <w:szCs w:val="24"/>
        </w:rPr>
        <w:t xml:space="preserve"> СГЭУ</w:t>
      </w:r>
      <w:r w:rsidRPr="001511F5">
        <w:rPr>
          <w:rFonts w:ascii="Times New Roman" w:hAnsi="Times New Roman"/>
          <w:sz w:val="24"/>
          <w:szCs w:val="24"/>
        </w:rPr>
        <w:t>, план организационных и инфраструктурных изменений в научной деятельности, нормативные документы Министерства науки и высшего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1511F5">
        <w:rPr>
          <w:rFonts w:ascii="Times New Roman" w:hAnsi="Times New Roman"/>
          <w:sz w:val="24"/>
          <w:szCs w:val="24"/>
        </w:rPr>
        <w:t xml:space="preserve"> определяющие показатели эффективности деятельности высших учебных заведений – Приказ N 41 от 23.01.2018 «Об утверждении показателей эффективности деятельности бюджетных и автономных образовательных учреждений высшего образования и работы их руководителей, находящихся в ведении Министерства образования и науки РФ», Приказ Минобрнауки России от 22.03.2018 N 204 "О проведении мониторинга эффективности образовательных организаций высшего образования".</w:t>
      </w:r>
    </w:p>
    <w:p w:rsidR="005E31B1" w:rsidRPr="001511F5" w:rsidRDefault="005E31B1" w:rsidP="001511F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1F5">
        <w:rPr>
          <w:rFonts w:ascii="Times New Roman" w:hAnsi="Times New Roman"/>
          <w:sz w:val="24"/>
          <w:szCs w:val="24"/>
        </w:rPr>
        <w:t>Показатели перспективно</w:t>
      </w:r>
      <w:r>
        <w:rPr>
          <w:rFonts w:ascii="Times New Roman" w:hAnsi="Times New Roman"/>
          <w:sz w:val="24"/>
          <w:szCs w:val="24"/>
        </w:rPr>
        <w:t>го</w:t>
      </w:r>
      <w:r w:rsidRPr="001511F5">
        <w:rPr>
          <w:rFonts w:ascii="Times New Roman" w:hAnsi="Times New Roman"/>
          <w:sz w:val="24"/>
          <w:szCs w:val="24"/>
        </w:rPr>
        <w:t xml:space="preserve"> плана развития научной деятельности университета на период до 2024г. представлен</w:t>
      </w:r>
      <w:r>
        <w:rPr>
          <w:rFonts w:ascii="Times New Roman" w:hAnsi="Times New Roman"/>
          <w:sz w:val="24"/>
          <w:szCs w:val="24"/>
        </w:rPr>
        <w:t>ы</w:t>
      </w:r>
      <w:r w:rsidRPr="001511F5">
        <w:rPr>
          <w:rFonts w:ascii="Times New Roman" w:hAnsi="Times New Roman"/>
          <w:sz w:val="24"/>
          <w:szCs w:val="24"/>
        </w:rPr>
        <w:t xml:space="preserve"> в табл. 1.</w:t>
      </w:r>
    </w:p>
    <w:p w:rsidR="005E31B1" w:rsidRPr="001511F5" w:rsidRDefault="005E31B1" w:rsidP="001511F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31B1" w:rsidRDefault="005E31B1">
      <w:pPr>
        <w:ind w:firstLine="567"/>
        <w:jc w:val="both"/>
        <w:rPr>
          <w:rFonts w:ascii="Times New Roman" w:hAnsi="Times New Roman"/>
          <w:sz w:val="28"/>
          <w:szCs w:val="28"/>
        </w:rPr>
        <w:sectPr w:rsidR="005E31B1" w:rsidSect="00B51C18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E31B1" w:rsidRDefault="005E31B1" w:rsidP="00B941AB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5E31B1" w:rsidRDefault="005E31B1" w:rsidP="00B941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941AB">
        <w:rPr>
          <w:rFonts w:ascii="Times New Roman" w:hAnsi="Times New Roman"/>
          <w:sz w:val="28"/>
          <w:szCs w:val="28"/>
          <w:lang w:eastAsia="ru-RU"/>
        </w:rPr>
        <w:t>ерспективн</w:t>
      </w:r>
      <w:r>
        <w:rPr>
          <w:rFonts w:ascii="Times New Roman" w:hAnsi="Times New Roman"/>
          <w:sz w:val="28"/>
          <w:szCs w:val="28"/>
          <w:lang w:eastAsia="ru-RU"/>
        </w:rPr>
        <w:t>ый план</w:t>
      </w:r>
      <w:r w:rsidRPr="00B941AB">
        <w:rPr>
          <w:rFonts w:ascii="Times New Roman" w:hAnsi="Times New Roman"/>
          <w:sz w:val="28"/>
          <w:szCs w:val="28"/>
          <w:lang w:eastAsia="ru-RU"/>
        </w:rPr>
        <w:t xml:space="preserve"> научно-исследовательских работ </w:t>
      </w:r>
      <w:r>
        <w:rPr>
          <w:rFonts w:ascii="Times New Roman" w:hAnsi="Times New Roman"/>
          <w:sz w:val="28"/>
          <w:szCs w:val="28"/>
          <w:lang w:eastAsia="ru-RU"/>
        </w:rPr>
        <w:t xml:space="preserve">университета </w:t>
      </w:r>
      <w:r w:rsidRPr="00B941AB">
        <w:rPr>
          <w:rFonts w:ascii="Times New Roman" w:hAnsi="Times New Roman"/>
          <w:sz w:val="28"/>
          <w:szCs w:val="28"/>
          <w:lang w:eastAsia="ru-RU"/>
        </w:rPr>
        <w:t>на 2018-2024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"/>
        <w:gridCol w:w="7455"/>
        <w:gridCol w:w="851"/>
        <w:gridCol w:w="991"/>
        <w:gridCol w:w="851"/>
        <w:gridCol w:w="850"/>
        <w:gridCol w:w="851"/>
        <w:gridCol w:w="850"/>
        <w:gridCol w:w="851"/>
        <w:gridCol w:w="786"/>
      </w:tblGrid>
      <w:tr w:rsidR="005E31B1" w:rsidRPr="00B941AB" w:rsidTr="00B941AB">
        <w:trPr>
          <w:trHeight w:val="563"/>
        </w:trPr>
        <w:tc>
          <w:tcPr>
            <w:tcW w:w="450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5" w:type="dxa"/>
          </w:tcPr>
          <w:p w:rsidR="005E31B1" w:rsidRPr="00B941AB" w:rsidRDefault="005E31B1" w:rsidP="00B941AB">
            <w:pPr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941AB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851" w:type="dxa"/>
          </w:tcPr>
          <w:p w:rsidR="005E31B1" w:rsidRPr="00B941AB" w:rsidRDefault="005E31B1" w:rsidP="00B9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1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8"/>
                <w:szCs w:val="28"/>
              </w:rPr>
            </w:pPr>
            <w:r w:rsidRPr="00B941A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8"/>
                <w:szCs w:val="28"/>
              </w:rPr>
            </w:pPr>
            <w:r w:rsidRPr="00B941A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8"/>
                <w:szCs w:val="28"/>
              </w:rPr>
            </w:pPr>
            <w:r w:rsidRPr="00B941A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8"/>
                <w:szCs w:val="28"/>
              </w:rPr>
            </w:pPr>
            <w:r w:rsidRPr="00B941A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8"/>
                <w:szCs w:val="28"/>
              </w:rPr>
            </w:pPr>
            <w:r w:rsidRPr="00B941A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8"/>
                <w:szCs w:val="28"/>
              </w:rPr>
            </w:pPr>
            <w:r w:rsidRPr="00B941A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86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8"/>
                <w:szCs w:val="28"/>
              </w:rPr>
            </w:pPr>
            <w:r w:rsidRPr="00B941A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E31B1" w:rsidTr="00B941AB">
        <w:trPr>
          <w:trHeight w:val="542"/>
        </w:trPr>
        <w:tc>
          <w:tcPr>
            <w:tcW w:w="450" w:type="dxa"/>
          </w:tcPr>
          <w:p w:rsidR="005E31B1" w:rsidRDefault="005E31B1" w:rsidP="00B941AB">
            <w:pPr>
              <w:spacing w:after="0" w:line="240" w:lineRule="auto"/>
            </w:pPr>
            <w:r>
              <w:t>1.</w:t>
            </w:r>
          </w:p>
        </w:tc>
        <w:tc>
          <w:tcPr>
            <w:tcW w:w="7455" w:type="dxa"/>
          </w:tcPr>
          <w:p w:rsidR="005E31B1" w:rsidRPr="00B941AB" w:rsidRDefault="005E31B1" w:rsidP="00B941A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Доходы от НИОКР  в расчете на одного НПР</w:t>
            </w:r>
          </w:p>
        </w:tc>
        <w:tc>
          <w:tcPr>
            <w:tcW w:w="851" w:type="dxa"/>
          </w:tcPr>
          <w:p w:rsidR="005E31B1" w:rsidRPr="00B941AB" w:rsidRDefault="005E31B1" w:rsidP="00B941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</w:tcPr>
          <w:p w:rsidR="005E31B1" w:rsidRDefault="005E31B1" w:rsidP="00B941AB">
            <w:pPr>
              <w:pStyle w:val="ListParagraph"/>
              <w:ind w:hanging="686"/>
            </w:pPr>
            <w:r>
              <w:t>100</w:t>
            </w:r>
          </w:p>
        </w:tc>
        <w:tc>
          <w:tcPr>
            <w:tcW w:w="851" w:type="dxa"/>
          </w:tcPr>
          <w:p w:rsidR="005E31B1" w:rsidRDefault="005E31B1" w:rsidP="00A155F6">
            <w:r>
              <w:t>110</w:t>
            </w:r>
          </w:p>
        </w:tc>
        <w:tc>
          <w:tcPr>
            <w:tcW w:w="850" w:type="dxa"/>
          </w:tcPr>
          <w:p w:rsidR="005E31B1" w:rsidRDefault="005E31B1" w:rsidP="00A155F6">
            <w:r>
              <w:t>120</w:t>
            </w:r>
          </w:p>
        </w:tc>
        <w:tc>
          <w:tcPr>
            <w:tcW w:w="851" w:type="dxa"/>
          </w:tcPr>
          <w:p w:rsidR="005E31B1" w:rsidRDefault="005E31B1" w:rsidP="00A155F6">
            <w:r>
              <w:t>130</w:t>
            </w:r>
          </w:p>
        </w:tc>
        <w:tc>
          <w:tcPr>
            <w:tcW w:w="850" w:type="dxa"/>
          </w:tcPr>
          <w:p w:rsidR="005E31B1" w:rsidRDefault="005E31B1" w:rsidP="00A155F6">
            <w:r>
              <w:t>140</w:t>
            </w:r>
          </w:p>
        </w:tc>
        <w:tc>
          <w:tcPr>
            <w:tcW w:w="851" w:type="dxa"/>
          </w:tcPr>
          <w:p w:rsidR="005E31B1" w:rsidRDefault="005E31B1" w:rsidP="00A155F6">
            <w:r>
              <w:t>150</w:t>
            </w:r>
          </w:p>
        </w:tc>
        <w:tc>
          <w:tcPr>
            <w:tcW w:w="786" w:type="dxa"/>
          </w:tcPr>
          <w:p w:rsidR="005E31B1" w:rsidRDefault="005E31B1" w:rsidP="00A155F6">
            <w:r>
              <w:t>160</w:t>
            </w:r>
          </w:p>
        </w:tc>
      </w:tr>
      <w:tr w:rsidR="005E31B1" w:rsidTr="00B941AB">
        <w:trPr>
          <w:trHeight w:val="705"/>
        </w:trPr>
        <w:tc>
          <w:tcPr>
            <w:tcW w:w="450" w:type="dxa"/>
          </w:tcPr>
          <w:p w:rsidR="005E31B1" w:rsidRDefault="005E31B1" w:rsidP="00A155F6">
            <w:r>
              <w:t>2.</w:t>
            </w:r>
          </w:p>
        </w:tc>
        <w:tc>
          <w:tcPr>
            <w:tcW w:w="7455" w:type="dxa"/>
          </w:tcPr>
          <w:p w:rsidR="005E31B1" w:rsidRPr="00B941AB" w:rsidRDefault="005E31B1" w:rsidP="00B9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публикаций организации, индексируемых в информационно-аналитической системе научного цитирования РИНЦ, в расчете на 100 НПР</w:t>
            </w:r>
          </w:p>
        </w:tc>
        <w:tc>
          <w:tcPr>
            <w:tcW w:w="851" w:type="dxa"/>
          </w:tcPr>
          <w:p w:rsidR="005E31B1" w:rsidRPr="00B941AB" w:rsidRDefault="005E31B1" w:rsidP="00B9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</w:tcPr>
          <w:p w:rsidR="005E31B1" w:rsidRDefault="005E31B1" w:rsidP="00A155F6">
            <w:r>
              <w:t>670</w:t>
            </w:r>
          </w:p>
        </w:tc>
        <w:tc>
          <w:tcPr>
            <w:tcW w:w="851" w:type="dxa"/>
          </w:tcPr>
          <w:p w:rsidR="005E31B1" w:rsidRDefault="005E31B1" w:rsidP="00A155F6">
            <w:r>
              <w:t>700</w:t>
            </w:r>
          </w:p>
        </w:tc>
        <w:tc>
          <w:tcPr>
            <w:tcW w:w="850" w:type="dxa"/>
          </w:tcPr>
          <w:p w:rsidR="005E31B1" w:rsidRDefault="005E31B1" w:rsidP="00A155F6">
            <w:r>
              <w:t>720</w:t>
            </w:r>
          </w:p>
        </w:tc>
        <w:tc>
          <w:tcPr>
            <w:tcW w:w="851" w:type="dxa"/>
          </w:tcPr>
          <w:p w:rsidR="005E31B1" w:rsidRDefault="005E31B1" w:rsidP="00A155F6">
            <w:r>
              <w:t>750</w:t>
            </w:r>
          </w:p>
        </w:tc>
        <w:tc>
          <w:tcPr>
            <w:tcW w:w="850" w:type="dxa"/>
          </w:tcPr>
          <w:p w:rsidR="005E31B1" w:rsidRDefault="005E31B1" w:rsidP="00A155F6">
            <w:r>
              <w:t>770</w:t>
            </w:r>
          </w:p>
        </w:tc>
        <w:tc>
          <w:tcPr>
            <w:tcW w:w="851" w:type="dxa"/>
          </w:tcPr>
          <w:p w:rsidR="005E31B1" w:rsidRDefault="005E31B1" w:rsidP="00A155F6">
            <w:r>
              <w:t>770</w:t>
            </w:r>
          </w:p>
        </w:tc>
        <w:tc>
          <w:tcPr>
            <w:tcW w:w="786" w:type="dxa"/>
          </w:tcPr>
          <w:p w:rsidR="005E31B1" w:rsidRDefault="005E31B1" w:rsidP="00A155F6">
            <w:r>
              <w:t>800</w:t>
            </w:r>
          </w:p>
        </w:tc>
      </w:tr>
      <w:tr w:rsidR="005E31B1" w:rsidTr="00B941AB">
        <w:trPr>
          <w:trHeight w:val="559"/>
        </w:trPr>
        <w:tc>
          <w:tcPr>
            <w:tcW w:w="450" w:type="dxa"/>
          </w:tcPr>
          <w:p w:rsidR="005E31B1" w:rsidRDefault="005E31B1" w:rsidP="00A155F6">
            <w:r>
              <w:t>3.</w:t>
            </w:r>
          </w:p>
        </w:tc>
        <w:tc>
          <w:tcPr>
            <w:tcW w:w="7455" w:type="dxa"/>
          </w:tcPr>
          <w:p w:rsidR="005E31B1" w:rsidRPr="00B941AB" w:rsidRDefault="005E31B1" w:rsidP="00B9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Число публикаций организации, индексируемых в информационно-аналитической системе научного цитирования Scopus, в расчете на 100 НПР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 w:rsidRPr="00B941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</w:tcPr>
          <w:p w:rsidR="005E31B1" w:rsidRDefault="005E31B1" w:rsidP="00A155F6">
            <w:r>
              <w:t>67</w:t>
            </w:r>
          </w:p>
        </w:tc>
        <w:tc>
          <w:tcPr>
            <w:tcW w:w="851" w:type="dxa"/>
          </w:tcPr>
          <w:p w:rsidR="005E31B1" w:rsidRDefault="005E31B1" w:rsidP="00A155F6">
            <w:r>
              <w:t>70</w:t>
            </w:r>
          </w:p>
        </w:tc>
        <w:tc>
          <w:tcPr>
            <w:tcW w:w="850" w:type="dxa"/>
          </w:tcPr>
          <w:p w:rsidR="005E31B1" w:rsidRDefault="005E31B1" w:rsidP="00A155F6">
            <w:r>
              <w:t>75</w:t>
            </w:r>
          </w:p>
        </w:tc>
        <w:tc>
          <w:tcPr>
            <w:tcW w:w="851" w:type="dxa"/>
          </w:tcPr>
          <w:p w:rsidR="005E31B1" w:rsidRDefault="005E31B1" w:rsidP="00A155F6">
            <w:r>
              <w:t>75</w:t>
            </w:r>
          </w:p>
        </w:tc>
        <w:tc>
          <w:tcPr>
            <w:tcW w:w="850" w:type="dxa"/>
          </w:tcPr>
          <w:p w:rsidR="005E31B1" w:rsidRDefault="005E31B1" w:rsidP="00A155F6">
            <w:r>
              <w:t>75</w:t>
            </w:r>
          </w:p>
        </w:tc>
        <w:tc>
          <w:tcPr>
            <w:tcW w:w="851" w:type="dxa"/>
          </w:tcPr>
          <w:p w:rsidR="005E31B1" w:rsidRDefault="005E31B1" w:rsidP="00A155F6">
            <w:r>
              <w:t>80</w:t>
            </w:r>
          </w:p>
        </w:tc>
        <w:tc>
          <w:tcPr>
            <w:tcW w:w="786" w:type="dxa"/>
          </w:tcPr>
          <w:p w:rsidR="005E31B1" w:rsidRDefault="005E31B1" w:rsidP="00A155F6">
            <w:r>
              <w:t>80</w:t>
            </w:r>
          </w:p>
        </w:tc>
      </w:tr>
      <w:tr w:rsidR="005E31B1" w:rsidTr="00B941AB">
        <w:trPr>
          <w:trHeight w:val="567"/>
        </w:trPr>
        <w:tc>
          <w:tcPr>
            <w:tcW w:w="450" w:type="dxa"/>
          </w:tcPr>
          <w:p w:rsidR="005E31B1" w:rsidRDefault="005E31B1" w:rsidP="00A155F6">
            <w:r>
              <w:t>4.</w:t>
            </w:r>
          </w:p>
        </w:tc>
        <w:tc>
          <w:tcPr>
            <w:tcW w:w="7455" w:type="dxa"/>
          </w:tcPr>
          <w:p w:rsidR="005E31B1" w:rsidRPr="00B941AB" w:rsidRDefault="005E31B1" w:rsidP="00B9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Число публикаций организации, индексируемых в информационно-аналитической системе научного цитирования Web of Science, в расчете на 100 НПР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 w:rsidRPr="00B941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</w:tcPr>
          <w:p w:rsidR="005E31B1" w:rsidRDefault="005E31B1" w:rsidP="00A155F6">
            <w:r>
              <w:t>8</w:t>
            </w:r>
          </w:p>
        </w:tc>
        <w:tc>
          <w:tcPr>
            <w:tcW w:w="851" w:type="dxa"/>
          </w:tcPr>
          <w:p w:rsidR="005E31B1" w:rsidRDefault="005E31B1" w:rsidP="00A155F6">
            <w:r>
              <w:t>9</w:t>
            </w:r>
          </w:p>
        </w:tc>
        <w:tc>
          <w:tcPr>
            <w:tcW w:w="850" w:type="dxa"/>
          </w:tcPr>
          <w:p w:rsidR="005E31B1" w:rsidRDefault="005E31B1" w:rsidP="00A155F6">
            <w:r>
              <w:t>10</w:t>
            </w:r>
          </w:p>
        </w:tc>
        <w:tc>
          <w:tcPr>
            <w:tcW w:w="851" w:type="dxa"/>
          </w:tcPr>
          <w:p w:rsidR="005E31B1" w:rsidRDefault="005E31B1" w:rsidP="00A155F6">
            <w:r>
              <w:t>10</w:t>
            </w:r>
          </w:p>
        </w:tc>
        <w:tc>
          <w:tcPr>
            <w:tcW w:w="850" w:type="dxa"/>
          </w:tcPr>
          <w:p w:rsidR="005E31B1" w:rsidRDefault="005E31B1" w:rsidP="00A155F6">
            <w:r>
              <w:t>10</w:t>
            </w:r>
          </w:p>
        </w:tc>
        <w:tc>
          <w:tcPr>
            <w:tcW w:w="851" w:type="dxa"/>
          </w:tcPr>
          <w:p w:rsidR="005E31B1" w:rsidRDefault="005E31B1" w:rsidP="00A155F6">
            <w:r>
              <w:t>12</w:t>
            </w:r>
          </w:p>
        </w:tc>
        <w:tc>
          <w:tcPr>
            <w:tcW w:w="786" w:type="dxa"/>
          </w:tcPr>
          <w:p w:rsidR="005E31B1" w:rsidRDefault="005E31B1" w:rsidP="00A155F6">
            <w:r>
              <w:t>12</w:t>
            </w:r>
          </w:p>
        </w:tc>
      </w:tr>
      <w:tr w:rsidR="005E31B1" w:rsidTr="00B941AB">
        <w:trPr>
          <w:trHeight w:val="547"/>
        </w:trPr>
        <w:tc>
          <w:tcPr>
            <w:tcW w:w="450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55" w:type="dxa"/>
          </w:tcPr>
          <w:p w:rsidR="005E31B1" w:rsidRPr="00B941AB" w:rsidRDefault="005E31B1" w:rsidP="00B9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Количество цитирований публикаций, изданных за последние 5 лет, индексируемых в Российском индексе научного цитирования (далее – РИНЦ) в расчете на 100 НПР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 w:rsidRPr="00B941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</w:tcPr>
          <w:p w:rsidR="005E31B1" w:rsidRDefault="005E31B1" w:rsidP="00A155F6">
            <w:r>
              <w:t>800</w:t>
            </w:r>
          </w:p>
        </w:tc>
        <w:tc>
          <w:tcPr>
            <w:tcW w:w="851" w:type="dxa"/>
          </w:tcPr>
          <w:p w:rsidR="005E31B1" w:rsidRDefault="005E31B1" w:rsidP="00A155F6">
            <w:r>
              <w:t>820</w:t>
            </w:r>
          </w:p>
        </w:tc>
        <w:tc>
          <w:tcPr>
            <w:tcW w:w="850" w:type="dxa"/>
          </w:tcPr>
          <w:p w:rsidR="005E31B1" w:rsidRDefault="005E31B1" w:rsidP="00A155F6">
            <w:r>
              <w:t>850</w:t>
            </w:r>
          </w:p>
        </w:tc>
        <w:tc>
          <w:tcPr>
            <w:tcW w:w="851" w:type="dxa"/>
          </w:tcPr>
          <w:p w:rsidR="005E31B1" w:rsidRDefault="005E31B1" w:rsidP="00A155F6">
            <w:r>
              <w:t>900</w:t>
            </w:r>
          </w:p>
        </w:tc>
        <w:tc>
          <w:tcPr>
            <w:tcW w:w="850" w:type="dxa"/>
          </w:tcPr>
          <w:p w:rsidR="005E31B1" w:rsidRDefault="005E31B1" w:rsidP="00A155F6">
            <w:r>
              <w:t>930</w:t>
            </w:r>
          </w:p>
        </w:tc>
        <w:tc>
          <w:tcPr>
            <w:tcW w:w="851" w:type="dxa"/>
          </w:tcPr>
          <w:p w:rsidR="005E31B1" w:rsidRDefault="005E31B1" w:rsidP="00A155F6">
            <w:r>
              <w:t>950</w:t>
            </w:r>
          </w:p>
        </w:tc>
        <w:tc>
          <w:tcPr>
            <w:tcW w:w="786" w:type="dxa"/>
          </w:tcPr>
          <w:p w:rsidR="005E31B1" w:rsidRDefault="005E31B1" w:rsidP="00A155F6">
            <w:r>
              <w:t>1000</w:t>
            </w:r>
          </w:p>
        </w:tc>
      </w:tr>
      <w:tr w:rsidR="005E31B1" w:rsidTr="00B941AB">
        <w:trPr>
          <w:trHeight w:val="905"/>
        </w:trPr>
        <w:tc>
          <w:tcPr>
            <w:tcW w:w="450" w:type="dxa"/>
          </w:tcPr>
          <w:p w:rsidR="005E31B1" w:rsidRDefault="005E31B1" w:rsidP="00A155F6">
            <w:r>
              <w:t>6.</w:t>
            </w:r>
          </w:p>
        </w:tc>
        <w:tc>
          <w:tcPr>
            <w:tcW w:w="7455" w:type="dxa"/>
          </w:tcPr>
          <w:p w:rsidR="005E31B1" w:rsidRPr="00B941AB" w:rsidRDefault="005E31B1" w:rsidP="00A155F6">
            <w:pPr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цитирований публикаций, изданных за последние 5 лет, индексируемых в информационно-аналитической системе научного цитирования Scopus в расчете на 100 НПР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 w:rsidRPr="00B941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</w:tcPr>
          <w:p w:rsidR="005E31B1" w:rsidRDefault="005E31B1" w:rsidP="00A155F6">
            <w:r>
              <w:t>50</w:t>
            </w:r>
          </w:p>
        </w:tc>
        <w:tc>
          <w:tcPr>
            <w:tcW w:w="851" w:type="dxa"/>
          </w:tcPr>
          <w:p w:rsidR="005E31B1" w:rsidRDefault="005E31B1" w:rsidP="00A155F6">
            <w:r>
              <w:t>450</w:t>
            </w:r>
          </w:p>
        </w:tc>
        <w:tc>
          <w:tcPr>
            <w:tcW w:w="850" w:type="dxa"/>
          </w:tcPr>
          <w:p w:rsidR="005E31B1" w:rsidRDefault="005E31B1" w:rsidP="00A155F6">
            <w:r>
              <w:t>460</w:t>
            </w:r>
          </w:p>
        </w:tc>
        <w:tc>
          <w:tcPr>
            <w:tcW w:w="851" w:type="dxa"/>
          </w:tcPr>
          <w:p w:rsidR="005E31B1" w:rsidRDefault="005E31B1" w:rsidP="00A155F6">
            <w:r>
              <w:t>470</w:t>
            </w:r>
          </w:p>
        </w:tc>
        <w:tc>
          <w:tcPr>
            <w:tcW w:w="850" w:type="dxa"/>
          </w:tcPr>
          <w:p w:rsidR="005E31B1" w:rsidRDefault="005E31B1" w:rsidP="00A155F6">
            <w:r>
              <w:t>480</w:t>
            </w:r>
          </w:p>
        </w:tc>
        <w:tc>
          <w:tcPr>
            <w:tcW w:w="851" w:type="dxa"/>
          </w:tcPr>
          <w:p w:rsidR="005E31B1" w:rsidRDefault="005E31B1" w:rsidP="00A155F6">
            <w:r>
              <w:t>480</w:t>
            </w:r>
          </w:p>
        </w:tc>
        <w:tc>
          <w:tcPr>
            <w:tcW w:w="786" w:type="dxa"/>
          </w:tcPr>
          <w:p w:rsidR="005E31B1" w:rsidRDefault="005E31B1" w:rsidP="00A155F6">
            <w:r>
              <w:t>500</w:t>
            </w:r>
          </w:p>
        </w:tc>
      </w:tr>
      <w:tr w:rsidR="005E31B1" w:rsidTr="00B941AB">
        <w:trPr>
          <w:trHeight w:val="513"/>
        </w:trPr>
        <w:tc>
          <w:tcPr>
            <w:tcW w:w="450" w:type="dxa"/>
          </w:tcPr>
          <w:p w:rsidR="005E31B1" w:rsidRDefault="005E31B1" w:rsidP="00B941AB">
            <w:pPr>
              <w:spacing w:after="0" w:line="240" w:lineRule="auto"/>
            </w:pPr>
            <w:r>
              <w:t>7.</w:t>
            </w:r>
          </w:p>
        </w:tc>
        <w:tc>
          <w:tcPr>
            <w:tcW w:w="7455" w:type="dxa"/>
          </w:tcPr>
          <w:p w:rsidR="005E31B1" w:rsidRPr="00B941AB" w:rsidRDefault="005E31B1" w:rsidP="00A155F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цитирований публикаций, изданных за последние 5 лет, индексируемых в информационно-аналитической системе научного цитирования Web of Science в расчете на 100 НПР</w:t>
            </w:r>
          </w:p>
        </w:tc>
        <w:tc>
          <w:tcPr>
            <w:tcW w:w="851" w:type="dxa"/>
          </w:tcPr>
          <w:p w:rsidR="005E31B1" w:rsidRPr="00B941AB" w:rsidRDefault="005E31B1" w:rsidP="00B9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</w:tcPr>
          <w:p w:rsidR="005E31B1" w:rsidRDefault="005E31B1" w:rsidP="00B941AB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>
              <w:t>17</w:t>
            </w:r>
          </w:p>
        </w:tc>
        <w:tc>
          <w:tcPr>
            <w:tcW w:w="850" w:type="dxa"/>
          </w:tcPr>
          <w:p w:rsidR="005E31B1" w:rsidRDefault="005E31B1" w:rsidP="00B941AB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>
              <w:t>25</w:t>
            </w:r>
          </w:p>
        </w:tc>
        <w:tc>
          <w:tcPr>
            <w:tcW w:w="850" w:type="dxa"/>
          </w:tcPr>
          <w:p w:rsidR="005E31B1" w:rsidRDefault="005E31B1" w:rsidP="00B941AB">
            <w:pPr>
              <w:spacing w:after="0" w:line="240" w:lineRule="auto"/>
            </w:pPr>
            <w:r>
              <w:t>35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>
              <w:t>40</w:t>
            </w:r>
          </w:p>
        </w:tc>
        <w:tc>
          <w:tcPr>
            <w:tcW w:w="786" w:type="dxa"/>
          </w:tcPr>
          <w:p w:rsidR="005E31B1" w:rsidRDefault="005E31B1" w:rsidP="00B941AB">
            <w:pPr>
              <w:spacing w:after="0" w:line="240" w:lineRule="auto"/>
            </w:pPr>
            <w:r>
              <w:t>50</w:t>
            </w:r>
          </w:p>
        </w:tc>
      </w:tr>
      <w:tr w:rsidR="005E31B1" w:rsidTr="00B941AB">
        <w:trPr>
          <w:trHeight w:val="488"/>
        </w:trPr>
        <w:tc>
          <w:tcPr>
            <w:tcW w:w="450" w:type="dxa"/>
          </w:tcPr>
          <w:p w:rsidR="005E31B1" w:rsidRDefault="005E31B1" w:rsidP="00B941AB">
            <w:pPr>
              <w:spacing w:after="0" w:line="240" w:lineRule="auto"/>
            </w:pPr>
            <w:r>
              <w:t>8.</w:t>
            </w:r>
          </w:p>
        </w:tc>
        <w:tc>
          <w:tcPr>
            <w:tcW w:w="7455" w:type="dxa"/>
          </w:tcPr>
          <w:p w:rsidR="005E31B1" w:rsidRPr="00B941AB" w:rsidRDefault="005E31B1" w:rsidP="00B94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полученных грантов за отчетный год в расчете на 100 НПР</w:t>
            </w:r>
          </w:p>
        </w:tc>
        <w:tc>
          <w:tcPr>
            <w:tcW w:w="851" w:type="dxa"/>
          </w:tcPr>
          <w:p w:rsidR="005E31B1" w:rsidRPr="00B941AB" w:rsidRDefault="005E31B1" w:rsidP="00B9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</w:tcPr>
          <w:p w:rsidR="005E31B1" w:rsidRDefault="005E31B1" w:rsidP="00B941AB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>
              <w:t>5</w:t>
            </w:r>
          </w:p>
        </w:tc>
        <w:tc>
          <w:tcPr>
            <w:tcW w:w="850" w:type="dxa"/>
          </w:tcPr>
          <w:p w:rsidR="005E31B1" w:rsidRDefault="005E31B1" w:rsidP="00B941AB">
            <w:pPr>
              <w:spacing w:after="0" w:line="240" w:lineRule="auto"/>
            </w:pPr>
            <w:r>
              <w:t>7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5E31B1" w:rsidRDefault="005E31B1" w:rsidP="00B941AB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5E31B1" w:rsidRDefault="005E31B1" w:rsidP="00B941AB">
            <w:pPr>
              <w:spacing w:after="0" w:line="240" w:lineRule="auto"/>
            </w:pPr>
            <w:r>
              <w:t>15</w:t>
            </w:r>
          </w:p>
        </w:tc>
        <w:tc>
          <w:tcPr>
            <w:tcW w:w="786" w:type="dxa"/>
          </w:tcPr>
          <w:p w:rsidR="005E31B1" w:rsidRDefault="005E31B1" w:rsidP="00B941AB">
            <w:pPr>
              <w:spacing w:after="0" w:line="240" w:lineRule="auto"/>
            </w:pPr>
            <w:r>
              <w:t>17</w:t>
            </w:r>
          </w:p>
        </w:tc>
      </w:tr>
    </w:tbl>
    <w:p w:rsidR="005E31B1" w:rsidRDefault="005E31B1" w:rsidP="00B941AB">
      <w:pPr>
        <w:ind w:firstLine="567"/>
        <w:jc w:val="right"/>
        <w:rPr>
          <w:rFonts w:ascii="Times New Roman" w:hAnsi="Times New Roman"/>
          <w:sz w:val="28"/>
          <w:szCs w:val="28"/>
        </w:rPr>
        <w:sectPr w:rsidR="005E31B1" w:rsidSect="00B941A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5E31B1" w:rsidRPr="00976E63" w:rsidRDefault="005E31B1" w:rsidP="00976E63">
      <w:pPr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76E63">
        <w:rPr>
          <w:rFonts w:ascii="Times New Roman" w:hAnsi="Times New Roman"/>
          <w:sz w:val="28"/>
          <w:szCs w:val="28"/>
        </w:rPr>
        <w:t xml:space="preserve">Ученый совет Университета </w:t>
      </w:r>
      <w:r w:rsidRPr="00976E63">
        <w:rPr>
          <w:rFonts w:ascii="Times New Roman" w:hAnsi="Times New Roman"/>
          <w:b/>
          <w:sz w:val="28"/>
          <w:szCs w:val="28"/>
        </w:rPr>
        <w:t>ПОСТАНОВЛЯЕТ:</w:t>
      </w:r>
    </w:p>
    <w:p w:rsidR="005E31B1" w:rsidRDefault="005E31B1" w:rsidP="001511F5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E4921">
        <w:rPr>
          <w:rFonts w:ascii="Times New Roman" w:hAnsi="Times New Roman"/>
          <w:sz w:val="24"/>
          <w:szCs w:val="24"/>
          <w:lang w:eastAsia="ru-RU"/>
        </w:rPr>
        <w:t>ерспективн</w:t>
      </w:r>
      <w:r>
        <w:rPr>
          <w:rFonts w:ascii="Times New Roman" w:hAnsi="Times New Roman"/>
          <w:sz w:val="24"/>
          <w:szCs w:val="24"/>
          <w:lang w:eastAsia="ru-RU"/>
        </w:rPr>
        <w:t>ый план</w:t>
      </w:r>
      <w:r w:rsidRPr="00EE4921">
        <w:rPr>
          <w:rFonts w:ascii="Times New Roman" w:hAnsi="Times New Roman"/>
          <w:sz w:val="24"/>
          <w:szCs w:val="24"/>
          <w:lang w:eastAsia="ru-RU"/>
        </w:rPr>
        <w:t xml:space="preserve"> научно-иссле</w:t>
      </w:r>
      <w:r>
        <w:rPr>
          <w:rFonts w:ascii="Times New Roman" w:hAnsi="Times New Roman"/>
          <w:sz w:val="24"/>
          <w:szCs w:val="24"/>
          <w:lang w:eastAsia="ru-RU"/>
        </w:rPr>
        <w:t>довательских работ на 2018-2024</w:t>
      </w:r>
      <w:r w:rsidRPr="00EE4921">
        <w:rPr>
          <w:rFonts w:ascii="Times New Roman" w:hAnsi="Times New Roman"/>
          <w:sz w:val="24"/>
          <w:szCs w:val="24"/>
          <w:lang w:eastAsia="ru-RU"/>
        </w:rPr>
        <w:t>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6E63">
        <w:rPr>
          <w:rFonts w:ascii="Times New Roman" w:hAnsi="Times New Roman"/>
          <w:sz w:val="24"/>
          <w:szCs w:val="24"/>
        </w:rPr>
        <w:t>утвердить.</w:t>
      </w:r>
    </w:p>
    <w:p w:rsidR="005E31B1" w:rsidRPr="00976E63" w:rsidRDefault="005E31B1" w:rsidP="001511F5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Руководителям научных школ университета обеспечить выполнение показателей развития школ на </w:t>
      </w:r>
      <w:r>
        <w:rPr>
          <w:rFonts w:ascii="Times New Roman" w:hAnsi="Times New Roman"/>
          <w:sz w:val="24"/>
          <w:szCs w:val="24"/>
          <w:lang w:eastAsia="ru-RU"/>
        </w:rPr>
        <w:t>2018-2024</w:t>
      </w:r>
      <w:r w:rsidRPr="00EE4921">
        <w:rPr>
          <w:rFonts w:ascii="Times New Roman" w:hAnsi="Times New Roman"/>
          <w:sz w:val="24"/>
          <w:szCs w:val="24"/>
          <w:lang w:eastAsia="ru-RU"/>
        </w:rPr>
        <w:t>гг.</w:t>
      </w:r>
    </w:p>
    <w:p w:rsidR="005E31B1" w:rsidRPr="00976E63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76E63">
        <w:rPr>
          <w:rFonts w:ascii="Times New Roman" w:hAnsi="Times New Roman"/>
          <w:sz w:val="24"/>
          <w:szCs w:val="24"/>
        </w:rPr>
        <w:t>. Проректору по научной работе и международным связям, директорам институтов, директору филиала, зав. кафедрами:</w:t>
      </w:r>
    </w:p>
    <w:p w:rsidR="005E31B1" w:rsidRPr="00976E63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76E63">
        <w:rPr>
          <w:rFonts w:ascii="Times New Roman" w:hAnsi="Times New Roman"/>
          <w:sz w:val="24"/>
          <w:szCs w:val="24"/>
        </w:rPr>
        <w:t xml:space="preserve">.1. Обсудить </w:t>
      </w:r>
      <w:r>
        <w:rPr>
          <w:rFonts w:ascii="Times New Roman" w:hAnsi="Times New Roman"/>
          <w:sz w:val="24"/>
          <w:szCs w:val="24"/>
          <w:lang w:eastAsia="ru-RU"/>
        </w:rPr>
        <w:t>план</w:t>
      </w:r>
      <w:r w:rsidRPr="00EE4921">
        <w:rPr>
          <w:rFonts w:ascii="Times New Roman" w:hAnsi="Times New Roman"/>
          <w:sz w:val="24"/>
          <w:szCs w:val="24"/>
          <w:lang w:eastAsia="ru-RU"/>
        </w:rPr>
        <w:t xml:space="preserve"> научно-иссле</w:t>
      </w:r>
      <w:r>
        <w:rPr>
          <w:rFonts w:ascii="Times New Roman" w:hAnsi="Times New Roman"/>
          <w:sz w:val="24"/>
          <w:szCs w:val="24"/>
          <w:lang w:eastAsia="ru-RU"/>
        </w:rPr>
        <w:t>довательских работ на 2018-2024</w:t>
      </w:r>
      <w:r w:rsidRPr="00EE4921">
        <w:rPr>
          <w:rFonts w:ascii="Times New Roman" w:hAnsi="Times New Roman"/>
          <w:sz w:val="24"/>
          <w:szCs w:val="24"/>
          <w:lang w:eastAsia="ru-RU"/>
        </w:rPr>
        <w:t>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6E63">
        <w:rPr>
          <w:rFonts w:ascii="Times New Roman" w:hAnsi="Times New Roman"/>
          <w:sz w:val="24"/>
          <w:szCs w:val="24"/>
        </w:rPr>
        <w:t xml:space="preserve">на заседаниях кафедр, институтов; разработать предложения по </w:t>
      </w:r>
      <w:r>
        <w:rPr>
          <w:rFonts w:ascii="Times New Roman" w:hAnsi="Times New Roman"/>
          <w:sz w:val="24"/>
          <w:szCs w:val="24"/>
        </w:rPr>
        <w:t>обеспечению выполнения показателей</w:t>
      </w:r>
      <w:r w:rsidRPr="00976E63">
        <w:rPr>
          <w:rFonts w:ascii="Times New Roman" w:hAnsi="Times New Roman"/>
          <w:sz w:val="24"/>
          <w:szCs w:val="24"/>
        </w:rPr>
        <w:t>.</w:t>
      </w:r>
    </w:p>
    <w:p w:rsidR="005E31B1" w:rsidRPr="00976E63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76E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976E63">
        <w:rPr>
          <w:rFonts w:ascii="Times New Roman" w:hAnsi="Times New Roman"/>
          <w:sz w:val="24"/>
          <w:szCs w:val="24"/>
        </w:rPr>
        <w:t>. Обеспечить переход от фундаментальных исследований к формированию заказов на прикладные разработки на базе тесного сотрудничества с хозяйствующими субъектами реального сектора экономики.</w:t>
      </w:r>
    </w:p>
    <w:p w:rsidR="005E31B1" w:rsidRPr="00976E63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76E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976E63">
        <w:rPr>
          <w:rFonts w:ascii="Times New Roman" w:hAnsi="Times New Roman"/>
          <w:sz w:val="24"/>
          <w:szCs w:val="24"/>
        </w:rPr>
        <w:t>. Обеспечить активное и результативное участие в конкурсах грантов РНФ, РФФИ и других фондов с привлечением ведущих докторов наук, профессоров в качестве руководителей при выполнении внутреннего норматива от кафедры.</w:t>
      </w:r>
    </w:p>
    <w:p w:rsidR="005E31B1" w:rsidRPr="00976E63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76E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976E63">
        <w:rPr>
          <w:rFonts w:ascii="Times New Roman" w:hAnsi="Times New Roman"/>
          <w:sz w:val="24"/>
          <w:szCs w:val="24"/>
        </w:rPr>
        <w:t>. Организовать работу по планированию и проведению научных мероприятий с использованием средств, привлекаемых из внешних источников финансирования.</w:t>
      </w:r>
    </w:p>
    <w:p w:rsidR="005E31B1" w:rsidRPr="00976E63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76E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976E63">
        <w:rPr>
          <w:rFonts w:ascii="Times New Roman" w:hAnsi="Times New Roman"/>
          <w:sz w:val="24"/>
          <w:szCs w:val="24"/>
        </w:rPr>
        <w:t>. Учитывая важность научно-исследовательской работы студентов в процессе обучения: активизировать занятия студентов в научных кружках и содействовать активному участию студентов в конференциях, семинарах, конкурсах инновационных проектов, а также в выполнении научных исследований.</w:t>
      </w:r>
    </w:p>
    <w:p w:rsidR="005E31B1" w:rsidRPr="00181426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76E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976E63">
        <w:rPr>
          <w:rFonts w:ascii="Times New Roman" w:hAnsi="Times New Roman"/>
          <w:sz w:val="24"/>
          <w:szCs w:val="24"/>
        </w:rPr>
        <w:t>. Обеспечить 100 % участие аспирантов второго и третьего года обучения в ежегодных научных конференциях университета с докладами</w:t>
      </w:r>
      <w:r>
        <w:rPr>
          <w:rFonts w:ascii="Times New Roman" w:hAnsi="Times New Roman"/>
          <w:sz w:val="24"/>
          <w:szCs w:val="24"/>
        </w:rPr>
        <w:t xml:space="preserve">, а также и публикации в изданиях входящих в </w:t>
      </w:r>
      <w:r w:rsidRPr="00181426">
        <w:rPr>
          <w:rFonts w:ascii="Times New Roman" w:hAnsi="Times New Roman"/>
          <w:sz w:val="24"/>
          <w:szCs w:val="24"/>
        </w:rPr>
        <w:t>ИОС Web of Science и Scopus.</w:t>
      </w:r>
    </w:p>
    <w:p w:rsidR="005E31B1" w:rsidRPr="00976E63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976E63">
        <w:rPr>
          <w:rFonts w:ascii="Times New Roman" w:hAnsi="Times New Roman"/>
          <w:sz w:val="24"/>
          <w:szCs w:val="24"/>
        </w:rPr>
        <w:t>. Более активно использовать инфраструктуру Коворкинг-центра в качестве площадки для проведения научных мероприятий и реализации инновационных проектов СГЭУ.</w:t>
      </w:r>
    </w:p>
    <w:p w:rsidR="005E31B1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76E63">
        <w:rPr>
          <w:rFonts w:ascii="Times New Roman" w:hAnsi="Times New Roman"/>
          <w:sz w:val="24"/>
          <w:szCs w:val="24"/>
        </w:rPr>
        <w:t>. Ректорату, УМС, ОНИИ продолжить совершенствование системы мер по развитию международного научного сотрудничества, в том числе по привлечению зарубежных исследователей к научной деятельности в университете и повышению эффективности участия в международных научных проектах.</w:t>
      </w:r>
    </w:p>
    <w:p w:rsidR="005E31B1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76E63">
        <w:rPr>
          <w:rFonts w:ascii="Times New Roman" w:hAnsi="Times New Roman"/>
          <w:sz w:val="24"/>
          <w:szCs w:val="24"/>
        </w:rPr>
        <w:t>. Проректору по научной работе и международным связям, руководителям диссертационных советов университета обеспечить выполнения требований ВАК Министерства образования и науки РФ к членам диссертационных советов.</w:t>
      </w:r>
    </w:p>
    <w:p w:rsidR="005E31B1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76E63">
        <w:rPr>
          <w:rFonts w:ascii="Times New Roman" w:hAnsi="Times New Roman"/>
          <w:sz w:val="24"/>
          <w:szCs w:val="24"/>
        </w:rPr>
        <w:t>. Проректору по научной работе и международным связям, руководителю ОНИИ, руководителям научных подразделений наладить эффе</w:t>
      </w:r>
      <w:r>
        <w:rPr>
          <w:rFonts w:ascii="Times New Roman" w:hAnsi="Times New Roman"/>
          <w:sz w:val="24"/>
          <w:szCs w:val="24"/>
        </w:rPr>
        <w:t>ктивную маркетинговую и рекламну</w:t>
      </w:r>
      <w:r w:rsidRPr="00976E63">
        <w:rPr>
          <w:rFonts w:ascii="Times New Roman" w:hAnsi="Times New Roman"/>
          <w:sz w:val="24"/>
          <w:szCs w:val="24"/>
        </w:rPr>
        <w:t>ю деятельность по обеспечению продвижения на рынок научных разработок университета.</w:t>
      </w:r>
    </w:p>
    <w:p w:rsidR="005E31B1" w:rsidRPr="00976E63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1B1" w:rsidRDefault="005E31B1" w:rsidP="0083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76E63">
        <w:rPr>
          <w:rFonts w:ascii="Times New Roman" w:hAnsi="Times New Roman"/>
          <w:sz w:val="24"/>
          <w:szCs w:val="24"/>
        </w:rPr>
        <w:t>Контроль за выполнением решения возложить на проректора по научной работе и международным связям профессора Ашмарину С.И.</w:t>
      </w:r>
    </w:p>
    <w:p w:rsidR="005E31B1" w:rsidRDefault="005E31B1" w:rsidP="001511F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1B1" w:rsidRDefault="005E31B1" w:rsidP="001511F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1B1" w:rsidRPr="00DC37EF" w:rsidRDefault="005E31B1" w:rsidP="00013C80">
      <w:pPr>
        <w:pStyle w:val="BodyText"/>
        <w:spacing w:line="360" w:lineRule="auto"/>
        <w:jc w:val="both"/>
        <w:rPr>
          <w:color w:val="000000"/>
          <w:sz w:val="24"/>
          <w:szCs w:val="24"/>
        </w:rPr>
      </w:pPr>
      <w:r w:rsidRPr="00DC37EF">
        <w:rPr>
          <w:color w:val="000000"/>
          <w:sz w:val="24"/>
          <w:szCs w:val="24"/>
        </w:rPr>
        <w:t xml:space="preserve">Председатель ученого совета                      </w:t>
      </w:r>
      <w:r w:rsidRPr="00DC37EF">
        <w:rPr>
          <w:color w:val="000000"/>
          <w:sz w:val="24"/>
          <w:szCs w:val="24"/>
        </w:rPr>
        <w:tab/>
        <w:t xml:space="preserve">                                            Г.Р. Хасаев</w:t>
      </w:r>
      <w:r w:rsidRPr="00DC37EF">
        <w:rPr>
          <w:color w:val="000000"/>
          <w:sz w:val="24"/>
          <w:szCs w:val="24"/>
        </w:rPr>
        <w:tab/>
      </w:r>
    </w:p>
    <w:p w:rsidR="005E31B1" w:rsidRPr="00DC37EF" w:rsidRDefault="005E31B1" w:rsidP="00013C80">
      <w:pPr>
        <w:pStyle w:val="BodyText"/>
        <w:spacing w:line="360" w:lineRule="auto"/>
        <w:jc w:val="both"/>
        <w:rPr>
          <w:color w:val="000000"/>
          <w:sz w:val="24"/>
          <w:szCs w:val="24"/>
        </w:rPr>
      </w:pPr>
    </w:p>
    <w:p w:rsidR="005E31B1" w:rsidRPr="00DC37EF" w:rsidRDefault="005E31B1" w:rsidP="00013C80">
      <w:pPr>
        <w:pStyle w:val="BodyText"/>
        <w:spacing w:line="360" w:lineRule="auto"/>
        <w:jc w:val="both"/>
        <w:rPr>
          <w:color w:val="000000"/>
          <w:sz w:val="24"/>
          <w:szCs w:val="24"/>
        </w:rPr>
      </w:pPr>
    </w:p>
    <w:p w:rsidR="005E31B1" w:rsidRPr="00DC37EF" w:rsidRDefault="005E31B1" w:rsidP="00DC37EF">
      <w:pPr>
        <w:pStyle w:val="BodyText"/>
        <w:jc w:val="both"/>
        <w:rPr>
          <w:sz w:val="24"/>
          <w:szCs w:val="24"/>
        </w:rPr>
      </w:pPr>
      <w:r w:rsidRPr="00DC37EF">
        <w:rPr>
          <w:sz w:val="24"/>
          <w:szCs w:val="24"/>
        </w:rPr>
        <w:t xml:space="preserve">Ученый секретарь ученого совета                                                   </w:t>
      </w:r>
      <w:r>
        <w:rPr>
          <w:sz w:val="24"/>
          <w:szCs w:val="24"/>
        </w:rPr>
        <w:t xml:space="preserve">                  </w:t>
      </w:r>
      <w:r w:rsidRPr="00DC37EF">
        <w:rPr>
          <w:sz w:val="24"/>
          <w:szCs w:val="24"/>
        </w:rPr>
        <w:t>Р.И. Семикова</w:t>
      </w:r>
    </w:p>
    <w:sectPr w:rsidR="005E31B1" w:rsidRPr="00DC37EF" w:rsidSect="00976E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B1" w:rsidRDefault="005E31B1" w:rsidP="00E65063">
      <w:pPr>
        <w:spacing w:after="0" w:line="240" w:lineRule="auto"/>
      </w:pPr>
      <w:r>
        <w:separator/>
      </w:r>
    </w:p>
  </w:endnote>
  <w:endnote w:type="continuationSeparator" w:id="0">
    <w:p w:rsidR="005E31B1" w:rsidRDefault="005E31B1" w:rsidP="00E6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1" w:rsidRDefault="005E31B1">
    <w:pPr>
      <w:pStyle w:val="Footer"/>
      <w:jc w:val="right"/>
    </w:pPr>
    <w:fldSimple w:instr="PAGE   \* MERGEFORMAT">
      <w:r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B1" w:rsidRDefault="005E31B1" w:rsidP="00E65063">
      <w:pPr>
        <w:spacing w:after="0" w:line="240" w:lineRule="auto"/>
      </w:pPr>
      <w:r>
        <w:separator/>
      </w:r>
    </w:p>
  </w:footnote>
  <w:footnote w:type="continuationSeparator" w:id="0">
    <w:p w:rsidR="005E31B1" w:rsidRDefault="005E31B1" w:rsidP="00E65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A1C"/>
    <w:multiLevelType w:val="multilevel"/>
    <w:tmpl w:val="499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56BE5"/>
    <w:multiLevelType w:val="hybridMultilevel"/>
    <w:tmpl w:val="4168C70C"/>
    <w:lvl w:ilvl="0" w:tplc="E4AC1E78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10193D"/>
    <w:multiLevelType w:val="multilevel"/>
    <w:tmpl w:val="F200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447D6"/>
    <w:multiLevelType w:val="hybridMultilevel"/>
    <w:tmpl w:val="26F27A3A"/>
    <w:lvl w:ilvl="0" w:tplc="AC5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B1E84"/>
    <w:multiLevelType w:val="hybridMultilevel"/>
    <w:tmpl w:val="F21CD556"/>
    <w:lvl w:ilvl="0" w:tplc="2B5E0EF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E82402D"/>
    <w:multiLevelType w:val="hybridMultilevel"/>
    <w:tmpl w:val="6A166F6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F50E6F"/>
    <w:multiLevelType w:val="hybridMultilevel"/>
    <w:tmpl w:val="5F06058C"/>
    <w:lvl w:ilvl="0" w:tplc="CBEE0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76235"/>
    <w:multiLevelType w:val="hybridMultilevel"/>
    <w:tmpl w:val="B46C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300A42"/>
    <w:multiLevelType w:val="hybridMultilevel"/>
    <w:tmpl w:val="709A4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826173"/>
    <w:multiLevelType w:val="hybridMultilevel"/>
    <w:tmpl w:val="34305CC6"/>
    <w:lvl w:ilvl="0" w:tplc="AAA4050E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187037B4"/>
    <w:multiLevelType w:val="multilevel"/>
    <w:tmpl w:val="60561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221DF"/>
    <w:multiLevelType w:val="hybridMultilevel"/>
    <w:tmpl w:val="91FE3FA2"/>
    <w:lvl w:ilvl="0" w:tplc="625E0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D32C79"/>
    <w:multiLevelType w:val="multilevel"/>
    <w:tmpl w:val="AE78E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213C312B"/>
    <w:multiLevelType w:val="hybridMultilevel"/>
    <w:tmpl w:val="EDDC9618"/>
    <w:lvl w:ilvl="0" w:tplc="3676DB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36B7ED4"/>
    <w:multiLevelType w:val="multilevel"/>
    <w:tmpl w:val="BD7841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C14C65"/>
    <w:multiLevelType w:val="multilevel"/>
    <w:tmpl w:val="F85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F220F"/>
    <w:multiLevelType w:val="hybridMultilevel"/>
    <w:tmpl w:val="CA20BBB0"/>
    <w:lvl w:ilvl="0" w:tplc="AC5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72842"/>
    <w:multiLevelType w:val="multilevel"/>
    <w:tmpl w:val="632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B52B2B"/>
    <w:multiLevelType w:val="hybridMultilevel"/>
    <w:tmpl w:val="95D0EBC8"/>
    <w:lvl w:ilvl="0" w:tplc="F0D48A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1610BD"/>
    <w:multiLevelType w:val="multilevel"/>
    <w:tmpl w:val="9EA2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E90FC8"/>
    <w:multiLevelType w:val="hybridMultilevel"/>
    <w:tmpl w:val="26D64C6E"/>
    <w:lvl w:ilvl="0" w:tplc="A48ACC16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1">
    <w:nsid w:val="35041285"/>
    <w:multiLevelType w:val="hybridMultilevel"/>
    <w:tmpl w:val="2962DA70"/>
    <w:lvl w:ilvl="0" w:tplc="B4B898C4">
      <w:start w:val="1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1D69EE"/>
    <w:multiLevelType w:val="multilevel"/>
    <w:tmpl w:val="2110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FA14F8"/>
    <w:multiLevelType w:val="multilevel"/>
    <w:tmpl w:val="5A14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22B23"/>
    <w:multiLevelType w:val="multilevel"/>
    <w:tmpl w:val="1F9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20456E"/>
    <w:multiLevelType w:val="multilevel"/>
    <w:tmpl w:val="8E7C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65305"/>
    <w:multiLevelType w:val="hybridMultilevel"/>
    <w:tmpl w:val="2F36741C"/>
    <w:lvl w:ilvl="0" w:tplc="EEAE43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C9827CA"/>
    <w:multiLevelType w:val="hybridMultilevel"/>
    <w:tmpl w:val="6C6A81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D087AA0"/>
    <w:multiLevelType w:val="multilevel"/>
    <w:tmpl w:val="2044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0F5359"/>
    <w:multiLevelType w:val="hybridMultilevel"/>
    <w:tmpl w:val="7F1CD7B2"/>
    <w:lvl w:ilvl="0" w:tplc="AC5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374407"/>
    <w:multiLevelType w:val="hybridMultilevel"/>
    <w:tmpl w:val="E1864EF8"/>
    <w:lvl w:ilvl="0" w:tplc="AC5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D5C9A"/>
    <w:multiLevelType w:val="multilevel"/>
    <w:tmpl w:val="9DEA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AA0A82"/>
    <w:multiLevelType w:val="hybridMultilevel"/>
    <w:tmpl w:val="8FD42EEE"/>
    <w:lvl w:ilvl="0" w:tplc="A48AC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5D329A"/>
    <w:multiLevelType w:val="hybridMultilevel"/>
    <w:tmpl w:val="2A92AA80"/>
    <w:lvl w:ilvl="0" w:tplc="977019C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5D727B0"/>
    <w:multiLevelType w:val="hybridMultilevel"/>
    <w:tmpl w:val="729C6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6EE77D1"/>
    <w:multiLevelType w:val="hybridMultilevel"/>
    <w:tmpl w:val="ABD6DB7A"/>
    <w:lvl w:ilvl="0" w:tplc="AC5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A28E8"/>
    <w:multiLevelType w:val="hybridMultilevel"/>
    <w:tmpl w:val="00DA1E44"/>
    <w:lvl w:ilvl="0" w:tplc="AC52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B31433"/>
    <w:multiLevelType w:val="hybridMultilevel"/>
    <w:tmpl w:val="428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D21C35"/>
    <w:multiLevelType w:val="multilevel"/>
    <w:tmpl w:val="4CB67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9">
    <w:nsid w:val="6BD345B4"/>
    <w:multiLevelType w:val="multilevel"/>
    <w:tmpl w:val="947C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FC1847"/>
    <w:multiLevelType w:val="multilevel"/>
    <w:tmpl w:val="393A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2327CE"/>
    <w:multiLevelType w:val="hybridMultilevel"/>
    <w:tmpl w:val="919474AE"/>
    <w:lvl w:ilvl="0" w:tplc="AC5266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36F45AD"/>
    <w:multiLevelType w:val="multilevel"/>
    <w:tmpl w:val="5DB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069BC"/>
    <w:multiLevelType w:val="multilevel"/>
    <w:tmpl w:val="5D0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6017DB"/>
    <w:multiLevelType w:val="hybridMultilevel"/>
    <w:tmpl w:val="C8C4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6A01AD"/>
    <w:multiLevelType w:val="hybridMultilevel"/>
    <w:tmpl w:val="DC7AE810"/>
    <w:lvl w:ilvl="0" w:tplc="AC5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64B9B"/>
    <w:multiLevelType w:val="hybridMultilevel"/>
    <w:tmpl w:val="9716CEA0"/>
    <w:lvl w:ilvl="0" w:tplc="53CC25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3"/>
  </w:num>
  <w:num w:numId="3">
    <w:abstractNumId w:val="11"/>
  </w:num>
  <w:num w:numId="4">
    <w:abstractNumId w:val="27"/>
  </w:num>
  <w:num w:numId="5">
    <w:abstractNumId w:val="26"/>
  </w:num>
  <w:num w:numId="6">
    <w:abstractNumId w:val="46"/>
  </w:num>
  <w:num w:numId="7">
    <w:abstractNumId w:val="24"/>
  </w:num>
  <w:num w:numId="8">
    <w:abstractNumId w:val="15"/>
  </w:num>
  <w:num w:numId="9">
    <w:abstractNumId w:val="28"/>
  </w:num>
  <w:num w:numId="10">
    <w:abstractNumId w:val="25"/>
  </w:num>
  <w:num w:numId="11">
    <w:abstractNumId w:val="31"/>
  </w:num>
  <w:num w:numId="12">
    <w:abstractNumId w:val="17"/>
  </w:num>
  <w:num w:numId="13">
    <w:abstractNumId w:val="19"/>
  </w:num>
  <w:num w:numId="14">
    <w:abstractNumId w:val="2"/>
  </w:num>
  <w:num w:numId="15">
    <w:abstractNumId w:val="0"/>
  </w:num>
  <w:num w:numId="16">
    <w:abstractNumId w:val="22"/>
  </w:num>
  <w:num w:numId="17">
    <w:abstractNumId w:val="23"/>
  </w:num>
  <w:num w:numId="18">
    <w:abstractNumId w:val="43"/>
  </w:num>
  <w:num w:numId="19">
    <w:abstractNumId w:val="39"/>
  </w:num>
  <w:num w:numId="20">
    <w:abstractNumId w:val="42"/>
  </w:num>
  <w:num w:numId="21">
    <w:abstractNumId w:val="21"/>
  </w:num>
  <w:num w:numId="22">
    <w:abstractNumId w:val="9"/>
  </w:num>
  <w:num w:numId="23">
    <w:abstractNumId w:val="33"/>
  </w:num>
  <w:num w:numId="24">
    <w:abstractNumId w:val="44"/>
  </w:num>
  <w:num w:numId="25">
    <w:abstractNumId w:val="37"/>
  </w:num>
  <w:num w:numId="26">
    <w:abstractNumId w:val="6"/>
  </w:num>
  <w:num w:numId="27">
    <w:abstractNumId w:val="32"/>
  </w:num>
  <w:num w:numId="28">
    <w:abstractNumId w:val="20"/>
  </w:num>
  <w:num w:numId="29">
    <w:abstractNumId w:val="10"/>
  </w:num>
  <w:num w:numId="30">
    <w:abstractNumId w:val="14"/>
  </w:num>
  <w:num w:numId="31">
    <w:abstractNumId w:val="45"/>
  </w:num>
  <w:num w:numId="32">
    <w:abstractNumId w:val="41"/>
  </w:num>
  <w:num w:numId="33">
    <w:abstractNumId w:val="3"/>
  </w:num>
  <w:num w:numId="34">
    <w:abstractNumId w:val="34"/>
  </w:num>
  <w:num w:numId="35">
    <w:abstractNumId w:val="8"/>
  </w:num>
  <w:num w:numId="36">
    <w:abstractNumId w:val="5"/>
  </w:num>
  <w:num w:numId="37">
    <w:abstractNumId w:val="30"/>
  </w:num>
  <w:num w:numId="38">
    <w:abstractNumId w:val="18"/>
  </w:num>
  <w:num w:numId="39">
    <w:abstractNumId w:val="7"/>
  </w:num>
  <w:num w:numId="40">
    <w:abstractNumId w:val="1"/>
  </w:num>
  <w:num w:numId="41">
    <w:abstractNumId w:val="35"/>
  </w:num>
  <w:num w:numId="42">
    <w:abstractNumId w:val="16"/>
  </w:num>
  <w:num w:numId="43">
    <w:abstractNumId w:val="36"/>
  </w:num>
  <w:num w:numId="44">
    <w:abstractNumId w:val="29"/>
  </w:num>
  <w:num w:numId="45">
    <w:abstractNumId w:val="12"/>
  </w:num>
  <w:num w:numId="46">
    <w:abstractNumId w:val="38"/>
  </w:num>
  <w:num w:numId="47">
    <w:abstractNumId w:val="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63"/>
    <w:rsid w:val="00013C80"/>
    <w:rsid w:val="00083184"/>
    <w:rsid w:val="000A6A0D"/>
    <w:rsid w:val="000B1359"/>
    <w:rsid w:val="001450B9"/>
    <w:rsid w:val="001511F5"/>
    <w:rsid w:val="00181426"/>
    <w:rsid w:val="001A7BE8"/>
    <w:rsid w:val="001D2343"/>
    <w:rsid w:val="00201CFD"/>
    <w:rsid w:val="00207982"/>
    <w:rsid w:val="002C78EB"/>
    <w:rsid w:val="002D14C9"/>
    <w:rsid w:val="00302624"/>
    <w:rsid w:val="0036386A"/>
    <w:rsid w:val="00383A72"/>
    <w:rsid w:val="00397526"/>
    <w:rsid w:val="003A7A8F"/>
    <w:rsid w:val="003B684E"/>
    <w:rsid w:val="004308E2"/>
    <w:rsid w:val="004577E7"/>
    <w:rsid w:val="00490AA7"/>
    <w:rsid w:val="00566DBB"/>
    <w:rsid w:val="005A58A9"/>
    <w:rsid w:val="005B7FE6"/>
    <w:rsid w:val="005D3B7A"/>
    <w:rsid w:val="005E31B1"/>
    <w:rsid w:val="005E5443"/>
    <w:rsid w:val="00616BBD"/>
    <w:rsid w:val="006A4704"/>
    <w:rsid w:val="006B2A7B"/>
    <w:rsid w:val="007479CE"/>
    <w:rsid w:val="00753C2A"/>
    <w:rsid w:val="00791C6A"/>
    <w:rsid w:val="007E19DE"/>
    <w:rsid w:val="007E33F4"/>
    <w:rsid w:val="00820ECD"/>
    <w:rsid w:val="008327EE"/>
    <w:rsid w:val="008802BE"/>
    <w:rsid w:val="008A0A05"/>
    <w:rsid w:val="008D184E"/>
    <w:rsid w:val="008D366B"/>
    <w:rsid w:val="009035FC"/>
    <w:rsid w:val="009739F2"/>
    <w:rsid w:val="00976E63"/>
    <w:rsid w:val="009808A1"/>
    <w:rsid w:val="00994253"/>
    <w:rsid w:val="009A0C3F"/>
    <w:rsid w:val="009C56D5"/>
    <w:rsid w:val="00A06E2E"/>
    <w:rsid w:val="00A155F6"/>
    <w:rsid w:val="00AD6DA1"/>
    <w:rsid w:val="00AD75FE"/>
    <w:rsid w:val="00AF392B"/>
    <w:rsid w:val="00B4312E"/>
    <w:rsid w:val="00B51C18"/>
    <w:rsid w:val="00B530C4"/>
    <w:rsid w:val="00B83DB5"/>
    <w:rsid w:val="00B941AB"/>
    <w:rsid w:val="00BA7138"/>
    <w:rsid w:val="00BE3FEC"/>
    <w:rsid w:val="00C15192"/>
    <w:rsid w:val="00C32F83"/>
    <w:rsid w:val="00C434C9"/>
    <w:rsid w:val="00C77C05"/>
    <w:rsid w:val="00C85042"/>
    <w:rsid w:val="00CA24D3"/>
    <w:rsid w:val="00CA3588"/>
    <w:rsid w:val="00CC6A20"/>
    <w:rsid w:val="00CF36DB"/>
    <w:rsid w:val="00D56764"/>
    <w:rsid w:val="00D8426B"/>
    <w:rsid w:val="00DC37EF"/>
    <w:rsid w:val="00E65063"/>
    <w:rsid w:val="00E846F6"/>
    <w:rsid w:val="00EA1B9D"/>
    <w:rsid w:val="00EA5AF3"/>
    <w:rsid w:val="00EC0BDE"/>
    <w:rsid w:val="00EE4921"/>
    <w:rsid w:val="00F03DC4"/>
    <w:rsid w:val="00F9439A"/>
    <w:rsid w:val="00FA6938"/>
    <w:rsid w:val="00FD1838"/>
    <w:rsid w:val="00FD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75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7526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97526"/>
    <w:pPr>
      <w:ind w:left="720"/>
      <w:contextualSpacing/>
    </w:pPr>
  </w:style>
  <w:style w:type="paragraph" w:styleId="NoSpacing">
    <w:name w:val="No Spacing"/>
    <w:uiPriority w:val="99"/>
    <w:qFormat/>
    <w:rsid w:val="00397526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97526"/>
    <w:pPr>
      <w:spacing w:after="300" w:line="240" w:lineRule="auto"/>
      <w:contextualSpacing/>
      <w:jc w:val="both"/>
    </w:pPr>
    <w:rPr>
      <w:rFonts w:ascii="Times New Roman" w:eastAsia="Times New Roman" w:hAnsi="Times New Roman"/>
      <w:b/>
      <w:spacing w:val="5"/>
      <w:kern w:val="28"/>
      <w:sz w:val="28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97526"/>
    <w:rPr>
      <w:rFonts w:ascii="Times New Roman" w:hAnsi="Times New Roman" w:cs="Times New Roman"/>
      <w:b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semiHidden/>
    <w:rsid w:val="00397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97526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97526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75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Normal"/>
    <w:uiPriority w:val="99"/>
    <w:rsid w:val="0039752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39752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DefaultParagraphFont"/>
    <w:uiPriority w:val="99"/>
    <w:rsid w:val="0039752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397526"/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uiPriority w:val="99"/>
    <w:rsid w:val="00397526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21">
    <w:name w:val="s21"/>
    <w:basedOn w:val="DefaultParagraphFont"/>
    <w:uiPriority w:val="99"/>
    <w:rsid w:val="00397526"/>
    <w:rPr>
      <w:rFonts w:cs="Times New Roman"/>
      <w:b/>
      <w:bCs/>
    </w:rPr>
  </w:style>
  <w:style w:type="character" w:customStyle="1" w:styleId="s41">
    <w:name w:val="s41"/>
    <w:basedOn w:val="DefaultParagraphFont"/>
    <w:uiPriority w:val="99"/>
    <w:rsid w:val="00397526"/>
    <w:rPr>
      <w:rFonts w:ascii="MS Mincho" w:eastAsia="MS Mincho" w:hAnsi="MS Mincho" w:cs="Times New Roman"/>
    </w:rPr>
  </w:style>
  <w:style w:type="character" w:styleId="Hyperlink">
    <w:name w:val="Hyperlink"/>
    <w:basedOn w:val="DefaultParagraphFont"/>
    <w:uiPriority w:val="99"/>
    <w:semiHidden/>
    <w:rsid w:val="00397526"/>
    <w:rPr>
      <w:rFonts w:cs="Times New Roman"/>
      <w:color w:val="0000FF"/>
      <w:u w:val="single"/>
    </w:rPr>
  </w:style>
  <w:style w:type="paragraph" w:customStyle="1" w:styleId="msonormalmailrucssattributepostfix">
    <w:name w:val="msonormal_mailru_css_attribute_postfix"/>
    <w:basedOn w:val="Normal"/>
    <w:uiPriority w:val="99"/>
    <w:rsid w:val="00397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3975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97526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39752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39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97526"/>
    <w:rPr>
      <w:rFonts w:ascii="Courier New" w:eastAsia="MS Mincho" w:hAnsi="Courier New" w:cs="Courier New"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39752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526"/>
    <w:pPr>
      <w:widowControl w:val="0"/>
      <w:autoSpaceDE w:val="0"/>
      <w:autoSpaceDN w:val="0"/>
    </w:pPr>
    <w:rPr>
      <w:rFonts w:eastAsia="MS Mincho" w:cs="Calibri"/>
      <w:szCs w:val="20"/>
    </w:rPr>
  </w:style>
  <w:style w:type="paragraph" w:styleId="Footer">
    <w:name w:val="footer"/>
    <w:basedOn w:val="Normal"/>
    <w:link w:val="FooterChar"/>
    <w:uiPriority w:val="99"/>
    <w:rsid w:val="00397526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7526"/>
    <w:rPr>
      <w:rFonts w:ascii="Calibri" w:eastAsia="MS Mincho" w:hAnsi="Calibri" w:cs="Times New Roman"/>
      <w:sz w:val="22"/>
      <w:szCs w:val="22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397526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397526"/>
    <w:rPr>
      <w:rFonts w:cs="Times New Roman"/>
      <w:color w:val="800080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97526"/>
    <w:rPr>
      <w:rFonts w:cs="Times New Roman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397526"/>
    <w:pPr>
      <w:widowControl w:val="0"/>
      <w:shd w:val="clear" w:color="auto" w:fill="FFFFFF"/>
      <w:spacing w:before="360" w:after="0" w:line="257" w:lineRule="exact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table" w:customStyle="1" w:styleId="1">
    <w:name w:val="Сетка таблицы1"/>
    <w:uiPriority w:val="99"/>
    <w:rsid w:val="0039752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9752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9752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9752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9752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97526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7526"/>
    <w:rPr>
      <w:rFonts w:ascii="Calibri" w:eastAsia="MS Mincho" w:hAnsi="Calibri" w:cs="Times New Roman"/>
      <w:sz w:val="22"/>
      <w:szCs w:val="22"/>
      <w:lang w:val="ru-RU" w:eastAsia="ru-RU" w:bidi="ar-SA"/>
    </w:rPr>
  </w:style>
  <w:style w:type="paragraph" w:customStyle="1" w:styleId="Pa8">
    <w:name w:val="Pa8"/>
    <w:basedOn w:val="Default"/>
    <w:next w:val="Default"/>
    <w:uiPriority w:val="99"/>
    <w:rsid w:val="00397526"/>
    <w:pPr>
      <w:spacing w:line="241" w:lineRule="atLeast"/>
    </w:pPr>
    <w:rPr>
      <w:rFonts w:ascii="Minion Pro" w:eastAsia="Calibri" w:hAnsi="Minion Pro"/>
      <w:color w:val="auto"/>
      <w:lang w:eastAsia="ru-RU"/>
    </w:rPr>
  </w:style>
  <w:style w:type="paragraph" w:customStyle="1" w:styleId="a">
    <w:name w:val="Знак Знак Знак"/>
    <w:basedOn w:val="Normal"/>
    <w:uiPriority w:val="99"/>
    <w:rsid w:val="00397526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97526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526"/>
    <w:rPr>
      <w:rFonts w:ascii="Tahoma" w:eastAsia="MS Mincho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13</Pages>
  <Words>5587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ValiulinaA.V</cp:lastModifiedBy>
  <cp:revision>5</cp:revision>
  <cp:lastPrinted>2018-07-09T06:43:00Z</cp:lastPrinted>
  <dcterms:created xsi:type="dcterms:W3CDTF">2018-05-23T07:27:00Z</dcterms:created>
  <dcterms:modified xsi:type="dcterms:W3CDTF">2018-07-09T10:28:00Z</dcterms:modified>
</cp:coreProperties>
</file>