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23" w:type="dxa"/>
        <w:tblLayout w:type="fixed"/>
        <w:tblLook w:val="04A0" w:firstRow="1" w:lastRow="0" w:firstColumn="1" w:lastColumn="0" w:noHBand="0" w:noVBand="1"/>
      </w:tblPr>
      <w:tblGrid>
        <w:gridCol w:w="10348"/>
        <w:gridCol w:w="4575"/>
      </w:tblGrid>
      <w:tr w:rsidR="00A73FA7">
        <w:tc>
          <w:tcPr>
            <w:tcW w:w="10347" w:type="dxa"/>
          </w:tcPr>
          <w:p w:rsidR="00A73FA7" w:rsidRDefault="00413746">
            <w:pPr>
              <w:pStyle w:val="Default"/>
              <w:widowControl w:val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УТВЕРЖДЕНО</w:t>
            </w:r>
          </w:p>
          <w:p w:rsidR="00A73FA7" w:rsidRDefault="00413746">
            <w:pPr>
              <w:pStyle w:val="Default"/>
              <w:widowControl w:val="0"/>
            </w:pPr>
            <w:proofErr w:type="spellStart"/>
            <w:r>
              <w:t>Врио</w:t>
            </w:r>
            <w:proofErr w:type="spellEnd"/>
            <w:r>
              <w:t xml:space="preserve"> ректора ФГАОУ ВО «СГЭУ»,</w:t>
            </w:r>
          </w:p>
          <w:p w:rsidR="00A73FA7" w:rsidRDefault="00413746">
            <w:pPr>
              <w:pStyle w:val="Default"/>
              <w:widowControl w:val="0"/>
            </w:pPr>
            <w:r>
              <w:t>д.э.н., профессор</w:t>
            </w:r>
          </w:p>
          <w:p w:rsidR="00A73FA7" w:rsidRDefault="00413746">
            <w:pPr>
              <w:pStyle w:val="Default"/>
              <w:widowControl w:val="0"/>
            </w:pPr>
            <w:r>
              <w:t xml:space="preserve">____________________ </w:t>
            </w:r>
            <w:proofErr w:type="spellStart"/>
            <w:r>
              <w:t>Е.А.Кандрашина</w:t>
            </w:r>
            <w:proofErr w:type="spellEnd"/>
          </w:p>
          <w:p w:rsidR="00A73FA7" w:rsidRDefault="00A73FA7">
            <w:pPr>
              <w:pStyle w:val="Default"/>
              <w:widowControl w:val="0"/>
            </w:pPr>
          </w:p>
          <w:p w:rsidR="00A73FA7" w:rsidRDefault="00413746">
            <w:pPr>
              <w:pStyle w:val="Default"/>
              <w:widowControl w:val="0"/>
              <w:rPr>
                <w:b/>
              </w:rPr>
            </w:pPr>
            <w:r>
              <w:t>(приказ № _________ от _________2023 г.)</w:t>
            </w:r>
          </w:p>
        </w:tc>
        <w:tc>
          <w:tcPr>
            <w:tcW w:w="4575" w:type="dxa"/>
          </w:tcPr>
          <w:p w:rsidR="00A73FA7" w:rsidRDefault="00413746">
            <w:pPr>
              <w:pStyle w:val="Default"/>
              <w:widowControl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ПРИЛОЖЕНИЕ 1</w:t>
            </w:r>
          </w:p>
          <w:p w:rsidR="00A73FA7" w:rsidRDefault="00413746">
            <w:pPr>
              <w:pStyle w:val="Default"/>
              <w:widowControl w:val="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к Правилам приема на обучение по образовательным программам высшего образования - программам подготовки </w:t>
            </w:r>
            <w:r>
              <w:rPr>
                <w:sz w:val="20"/>
                <w:szCs w:val="20"/>
              </w:rPr>
              <w:t>научных и научно-педагогических кадров в аспирантуре в федеральное государственное автономное образовательное учреждение высшего образования «Самарский государственный экономический университет» на 2024/2025 учебный год</w:t>
            </w:r>
          </w:p>
        </w:tc>
      </w:tr>
    </w:tbl>
    <w:p w:rsidR="00A73FA7" w:rsidRDefault="00A73FA7">
      <w:pPr>
        <w:ind w:firstLine="571"/>
        <w:jc w:val="center"/>
        <w:rPr>
          <w:b/>
          <w:sz w:val="26"/>
          <w:szCs w:val="26"/>
        </w:rPr>
      </w:pPr>
    </w:p>
    <w:p w:rsidR="00A73FA7" w:rsidRDefault="00413746">
      <w:pPr>
        <w:ind w:firstLine="57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научных специальностей дл</w:t>
      </w:r>
      <w:r>
        <w:rPr>
          <w:b/>
          <w:sz w:val="26"/>
          <w:szCs w:val="26"/>
        </w:rPr>
        <w:t>я приема на обучение по образовательным программам высшего образования – программам подготовки научных и научно-педагогических кадров в аспирантуре</w:t>
      </w:r>
    </w:p>
    <w:p w:rsidR="00A73FA7" w:rsidRDefault="00A73FA7">
      <w:pPr>
        <w:ind w:firstLine="571"/>
        <w:jc w:val="center"/>
        <w:rPr>
          <w:b/>
          <w:sz w:val="26"/>
          <w:szCs w:val="26"/>
        </w:rPr>
      </w:pPr>
    </w:p>
    <w:tbl>
      <w:tblPr>
        <w:tblStyle w:val="af4"/>
        <w:tblW w:w="4200" w:type="pct"/>
        <w:jc w:val="center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656"/>
        <w:gridCol w:w="11364"/>
      </w:tblGrid>
      <w:tr w:rsidR="00A73FA7">
        <w:trPr>
          <w:jc w:val="center"/>
        </w:trPr>
        <w:tc>
          <w:tcPr>
            <w:tcW w:w="1645" w:type="dxa"/>
            <w:vAlign w:val="center"/>
          </w:tcPr>
          <w:p w:rsidR="00A73FA7" w:rsidRDefault="00413746">
            <w:pPr>
              <w:tabs>
                <w:tab w:val="left" w:pos="-284"/>
              </w:tabs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Код научной специальности</w:t>
            </w:r>
          </w:p>
        </w:tc>
        <w:tc>
          <w:tcPr>
            <w:tcW w:w="11288" w:type="dxa"/>
            <w:vAlign w:val="center"/>
          </w:tcPr>
          <w:p w:rsidR="00A73FA7" w:rsidRDefault="00413746">
            <w:pPr>
              <w:tabs>
                <w:tab w:val="left" w:pos="-284"/>
              </w:tabs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Программа подготовки научных и научно-педагогических</w:t>
            </w:r>
          </w:p>
          <w:p w:rsidR="00A73FA7" w:rsidRDefault="00413746">
            <w:pPr>
              <w:tabs>
                <w:tab w:val="left" w:pos="-284"/>
              </w:tabs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кадров в аспирантуре</w:t>
            </w:r>
          </w:p>
        </w:tc>
      </w:tr>
      <w:tr w:rsidR="00A73FA7">
        <w:trPr>
          <w:trHeight w:val="136"/>
          <w:jc w:val="center"/>
        </w:trPr>
        <w:tc>
          <w:tcPr>
            <w:tcW w:w="12933" w:type="dxa"/>
            <w:gridSpan w:val="2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Для </w:t>
            </w:r>
            <w:r>
              <w:rPr>
                <w:rFonts w:eastAsia="Calibri"/>
                <w:sz w:val="20"/>
                <w:szCs w:val="20"/>
                <w:lang w:eastAsia="en-US"/>
              </w:rPr>
              <w:t>всех программ подготовки научных и научно-педагогических кадров в аспирантуре</w:t>
            </w:r>
          </w:p>
        </w:tc>
      </w:tr>
      <w:tr w:rsidR="00A73FA7">
        <w:trPr>
          <w:trHeight w:val="136"/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5.1.1</w:t>
            </w:r>
          </w:p>
        </w:tc>
        <w:tc>
          <w:tcPr>
            <w:tcW w:w="11288" w:type="dxa"/>
          </w:tcPr>
          <w:p w:rsidR="00A73FA7" w:rsidRDefault="00413746">
            <w:pPr>
              <w:tabs>
                <w:tab w:val="left" w:pos="33"/>
              </w:tabs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Теоретико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– исторические правовые науки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5.1.2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Публично-правовые (государственно- правовые) науки</w:t>
            </w:r>
          </w:p>
        </w:tc>
      </w:tr>
      <w:tr w:rsidR="00A73FA7">
        <w:trPr>
          <w:trHeight w:val="260"/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5.1.3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Частно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-правовые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цивилистические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) науки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5.1.4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Уголовно-правовые </w:t>
            </w:r>
            <w:r>
              <w:rPr>
                <w:rFonts w:eastAsia="Calibri"/>
                <w:sz w:val="20"/>
                <w:szCs w:val="20"/>
                <w:lang w:eastAsia="en-US"/>
              </w:rPr>
              <w:t>науки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5.1.5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Международно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– правовые науки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5.2.1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Экономическая теория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5.2.2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Математические, статистические и инструментальные методы в экономике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5.2.3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Региональная и отраслевая экономика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5.2.4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Финансы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5.2.5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Мировая экономика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5.2.6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Менеджмент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5.4.4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Социальная структура, социальные институты и процессы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tabs>
                <w:tab w:val="left" w:pos="-284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5.6.1</w:t>
            </w:r>
          </w:p>
        </w:tc>
        <w:tc>
          <w:tcPr>
            <w:tcW w:w="11288" w:type="dxa"/>
          </w:tcPr>
          <w:p w:rsidR="00A73FA7" w:rsidRDefault="00413746">
            <w:pPr>
              <w:shd w:val="clear" w:color="auto" w:fill="FFFFFF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Отечественная история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5.7.1.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Онтология и теория познания</w:t>
            </w:r>
          </w:p>
        </w:tc>
      </w:tr>
      <w:tr w:rsidR="00A73FA7">
        <w:trPr>
          <w:jc w:val="center"/>
        </w:trPr>
        <w:tc>
          <w:tcPr>
            <w:tcW w:w="1645" w:type="dxa"/>
          </w:tcPr>
          <w:p w:rsidR="00A73FA7" w:rsidRDefault="00413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5.8.1.</w:t>
            </w:r>
          </w:p>
        </w:tc>
        <w:tc>
          <w:tcPr>
            <w:tcW w:w="11288" w:type="dxa"/>
          </w:tcPr>
          <w:p w:rsidR="00A73FA7" w:rsidRDefault="00413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педагогика, история педагогики и образования</w:t>
            </w:r>
          </w:p>
        </w:tc>
      </w:tr>
    </w:tbl>
    <w:p w:rsidR="00A73FA7" w:rsidRDefault="00A73FA7">
      <w:pPr>
        <w:pStyle w:val="af"/>
        <w:spacing w:line="276" w:lineRule="auto"/>
        <w:rPr>
          <w:sz w:val="26"/>
          <w:szCs w:val="26"/>
        </w:rPr>
      </w:pPr>
    </w:p>
    <w:sectPr w:rsidR="00A73FA7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FA7"/>
    <w:rsid w:val="00413746"/>
    <w:rsid w:val="00A7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8CC45-3E34-4734-93E4-57D483A4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FontStyle12">
    <w:name w:val="Font Style12"/>
    <w:basedOn w:val="a0"/>
    <w:qFormat/>
    <w:rsid w:val="002E1CD5"/>
    <w:rPr>
      <w:rFonts w:ascii="Courier New" w:hAnsi="Courier New" w:cs="Courier New"/>
      <w:sz w:val="18"/>
      <w:szCs w:val="18"/>
    </w:rPr>
  </w:style>
  <w:style w:type="character" w:customStyle="1" w:styleId="a3">
    <w:name w:val="Нижний колонтитул Знак"/>
    <w:basedOn w:val="a0"/>
    <w:link w:val="a4"/>
    <w:uiPriority w:val="99"/>
    <w:qFormat/>
    <w:rsid w:val="002443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A377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153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31818"/>
    <w:rPr>
      <w:color w:val="0000FF" w:themeColor="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Default">
    <w:name w:val="Default"/>
    <w:qFormat/>
    <w:rsid w:val="00FE5AF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qFormat/>
    <w:rsid w:val="002E1CD5"/>
    <w:pPr>
      <w:widowControl w:val="0"/>
      <w:spacing w:line="275" w:lineRule="exact"/>
      <w:ind w:firstLine="360"/>
      <w:jc w:val="both"/>
    </w:pPr>
  </w:style>
  <w:style w:type="paragraph" w:customStyle="1" w:styleId="Style3">
    <w:name w:val="Style3"/>
    <w:basedOn w:val="a"/>
    <w:qFormat/>
    <w:rsid w:val="002E1CD5"/>
    <w:pPr>
      <w:widowControl w:val="0"/>
      <w:spacing w:line="211" w:lineRule="exact"/>
      <w:ind w:firstLine="581"/>
    </w:pPr>
    <w:rPr>
      <w:rFonts w:ascii="Courier New" w:hAnsi="Courier New"/>
    </w:rPr>
  </w:style>
  <w:style w:type="paragraph" w:customStyle="1" w:styleId="Style4">
    <w:name w:val="Style4"/>
    <w:basedOn w:val="a"/>
    <w:qFormat/>
    <w:rsid w:val="002E1CD5"/>
    <w:pPr>
      <w:widowControl w:val="0"/>
      <w:spacing w:line="221" w:lineRule="exact"/>
      <w:jc w:val="center"/>
    </w:pPr>
    <w:rPr>
      <w:rFonts w:ascii="Courier New" w:hAnsi="Courier New"/>
    </w:rPr>
  </w:style>
  <w:style w:type="paragraph" w:customStyle="1" w:styleId="Style6">
    <w:name w:val="Style6"/>
    <w:basedOn w:val="a"/>
    <w:qFormat/>
    <w:rsid w:val="002E1CD5"/>
    <w:pPr>
      <w:widowControl w:val="0"/>
      <w:spacing w:line="218" w:lineRule="exact"/>
      <w:ind w:firstLine="566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5354C0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24437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5"/>
    <w:uiPriority w:val="99"/>
    <w:semiHidden/>
    <w:unhideWhenUsed/>
    <w:qFormat/>
    <w:rsid w:val="00A377FE"/>
    <w:rPr>
      <w:rFonts w:ascii="Tahoma" w:hAnsi="Tahoma" w:cs="Tahoma"/>
      <w:sz w:val="16"/>
      <w:szCs w:val="16"/>
    </w:rPr>
  </w:style>
  <w:style w:type="paragraph" w:styleId="af1">
    <w:name w:val="Normal (Web)"/>
    <w:basedOn w:val="a"/>
    <w:qFormat/>
    <w:rsid w:val="007C07CC"/>
    <w:pPr>
      <w:spacing w:beforeAutospacing="1" w:afterAutospacing="1"/>
    </w:pPr>
  </w:style>
  <w:style w:type="paragraph" w:customStyle="1" w:styleId="ConsPlusNormal">
    <w:name w:val="ConsPlusNormal"/>
    <w:qFormat/>
    <w:rsid w:val="007C07CC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qFormat/>
    <w:rsid w:val="00DE7C4D"/>
    <w:pPr>
      <w:widowControl w:val="0"/>
      <w:spacing w:line="211" w:lineRule="exact"/>
      <w:ind w:firstLine="581"/>
      <w:jc w:val="both"/>
    </w:pPr>
    <w:rPr>
      <w:rFonts w:ascii="Courier New" w:hAnsi="Courier New"/>
    </w:rPr>
  </w:style>
  <w:style w:type="paragraph" w:styleId="a8">
    <w:name w:val="header"/>
    <w:basedOn w:val="a"/>
    <w:link w:val="a7"/>
    <w:uiPriority w:val="99"/>
    <w:unhideWhenUsed/>
    <w:rsid w:val="00153BA2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59"/>
    <w:rsid w:val="00B8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68435-B092-4779-8531-CEBF664A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SmolinaE.S</dc:creator>
  <dc:description/>
  <cp:lastModifiedBy>Сидорова Анна Викторовна</cp:lastModifiedBy>
  <cp:revision>2</cp:revision>
  <cp:lastPrinted>2021-05-18T06:54:00Z</cp:lastPrinted>
  <dcterms:created xsi:type="dcterms:W3CDTF">2023-10-24T08:14:00Z</dcterms:created>
  <dcterms:modified xsi:type="dcterms:W3CDTF">2023-10-24T08:14:00Z</dcterms:modified>
  <dc:language>ru-RU</dc:language>
</cp:coreProperties>
</file>