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D49" w:rsidRDefault="00EB7D49">
      <w:pPr>
        <w:pStyle w:val="Default"/>
        <w:rPr>
          <w:b/>
        </w:rPr>
      </w:pPr>
      <w:bookmarkStart w:id="0" w:name="_GoBack"/>
      <w:bookmarkEnd w:id="0"/>
    </w:p>
    <w:p w:rsidR="00EB7D49" w:rsidRDefault="00EB7D49">
      <w:pPr>
        <w:sectPr w:rsidR="00EB7D49">
          <w:pgSz w:w="11906" w:h="16838"/>
          <w:pgMar w:top="1134" w:right="850" w:bottom="1134" w:left="1701" w:header="0" w:footer="0" w:gutter="0"/>
          <w:cols w:space="720"/>
          <w:formProt w:val="0"/>
          <w:docGrid w:linePitch="600" w:charSpace="32768"/>
        </w:sectPr>
      </w:pP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781"/>
        <w:gridCol w:w="4574"/>
      </w:tblGrid>
      <w:tr w:rsidR="00EB7D49">
        <w:tc>
          <w:tcPr>
            <w:tcW w:w="4780" w:type="dxa"/>
          </w:tcPr>
          <w:p w:rsidR="00EB7D49" w:rsidRDefault="00530BD0">
            <w:pPr>
              <w:pStyle w:val="Default"/>
              <w:widowControl w:val="0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EB7D49" w:rsidRDefault="00530BD0">
            <w:pPr>
              <w:pStyle w:val="Default"/>
              <w:widowControl w:val="0"/>
            </w:pPr>
            <w:proofErr w:type="spellStart"/>
            <w:r>
              <w:t>Врио</w:t>
            </w:r>
            <w:proofErr w:type="spellEnd"/>
            <w:r>
              <w:t xml:space="preserve"> ректора ФГАОУ ВО «СГЭУ»,</w:t>
            </w:r>
          </w:p>
          <w:p w:rsidR="00EB7D49" w:rsidRDefault="00530BD0">
            <w:pPr>
              <w:pStyle w:val="Default"/>
              <w:widowControl w:val="0"/>
            </w:pPr>
            <w:r>
              <w:t>д.э.н., профессор</w:t>
            </w:r>
          </w:p>
          <w:p w:rsidR="00EB7D49" w:rsidRDefault="00530BD0">
            <w:pPr>
              <w:pStyle w:val="Default"/>
              <w:widowControl w:val="0"/>
            </w:pPr>
            <w:r>
              <w:t xml:space="preserve">____________________ </w:t>
            </w:r>
            <w:proofErr w:type="spellStart"/>
            <w:r>
              <w:t>Е.А.Кандрашина</w:t>
            </w:r>
            <w:proofErr w:type="spellEnd"/>
          </w:p>
          <w:p w:rsidR="00EB7D49" w:rsidRDefault="00EB7D49">
            <w:pPr>
              <w:pStyle w:val="Default"/>
              <w:widowControl w:val="0"/>
            </w:pPr>
          </w:p>
          <w:p w:rsidR="00EB7D49" w:rsidRDefault="00530BD0">
            <w:pPr>
              <w:pStyle w:val="Default"/>
              <w:widowControl w:val="0"/>
              <w:rPr>
                <w:b/>
              </w:rPr>
            </w:pPr>
            <w:r>
              <w:t>(приказ № _________ от _________2023г.)</w:t>
            </w:r>
          </w:p>
        </w:tc>
        <w:tc>
          <w:tcPr>
            <w:tcW w:w="4574" w:type="dxa"/>
          </w:tcPr>
          <w:p w:rsidR="00EB7D49" w:rsidRDefault="00530BD0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9</w:t>
            </w:r>
          </w:p>
          <w:p w:rsidR="00EB7D49" w:rsidRDefault="00530BD0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</w:t>
            </w:r>
            <w:r>
              <w:rPr>
                <w:sz w:val="20"/>
                <w:szCs w:val="20"/>
              </w:rPr>
              <w:t>программам 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EB7D49" w:rsidRDefault="00EB7D49">
      <w:pPr>
        <w:jc w:val="center"/>
        <w:rPr>
          <w:b/>
        </w:rPr>
      </w:pPr>
    </w:p>
    <w:p w:rsidR="00EB7D49" w:rsidRDefault="00530BD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</w:t>
      </w:r>
    </w:p>
    <w:p w:rsidR="00EB7D49" w:rsidRDefault="00530BD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проведении вступительных испытаний очно и (или) с использованием дистанционных технологий в ФГАОУ ВО «СГЭУ» в 2024-2025 учебном году</w:t>
      </w:r>
    </w:p>
    <w:p w:rsidR="00EB7D49" w:rsidRDefault="00EB7D49">
      <w:pPr>
        <w:tabs>
          <w:tab w:val="left" w:pos="2400"/>
        </w:tabs>
        <w:ind w:firstLine="567"/>
        <w:jc w:val="both"/>
        <w:rPr>
          <w:rFonts w:eastAsiaTheme="minorEastAsia"/>
        </w:rPr>
      </w:pPr>
    </w:p>
    <w:p w:rsidR="00EB7D49" w:rsidRDefault="00530BD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Университет проводит вступительные испытания с использованием дистанционных образовательных технологий (далее – ДОТ) в ф</w:t>
      </w:r>
      <w:r>
        <w:rPr>
          <w:rFonts w:eastAsiaTheme="minorEastAsia"/>
        </w:rPr>
        <w:t>орме бланкового тестирования с осуществлением обязательной идентификации личности поступающего и постоянным контролем со стороны членов экзаменационной комиссии за соблюдением процедуры и порядка проведения вступительных испытаний.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 xml:space="preserve">Вступительные испытания </w:t>
      </w:r>
      <w:r>
        <w:rPr>
          <w:rFonts w:eastAsiaTheme="minorEastAsia"/>
        </w:rPr>
        <w:t>для поступающих могут проводиться при личном взаимодействии с поступающими в Университете, если это не противоречит актам высших должностных лиц Российской Федерации и Самарской области (руководителей высших исполнительных органов государственной власти Са</w:t>
      </w:r>
      <w:r>
        <w:rPr>
          <w:rFonts w:eastAsiaTheme="minorEastAsia"/>
        </w:rPr>
        <w:t>марской области).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>Вступительные испытания с использованием ДОТ проводятся для следующих лиц: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>а) иностранные граждане;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>б) инвалиды;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>в) находящиеся на лечении в стационаре;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>г) проживающие за пределами Самарской области.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>При проведении вступительных испытаний</w:t>
      </w:r>
      <w:r>
        <w:rPr>
          <w:rFonts w:eastAsiaTheme="minorEastAsia"/>
        </w:rPr>
        <w:t xml:space="preserve"> с использованием ДОТ взаимодействие между участниками процесса (членами экзаменационных комиссий, администраторами, поступающими) осуществляется в режиме видеоконференцсвязи с использованием специализированного программного обеспечения с </w:t>
      </w:r>
      <w:proofErr w:type="spellStart"/>
      <w:r>
        <w:rPr>
          <w:rFonts w:eastAsiaTheme="minorEastAsia"/>
        </w:rPr>
        <w:t>прокторингом</w:t>
      </w:r>
      <w:proofErr w:type="spellEnd"/>
      <w:r>
        <w:rPr>
          <w:rFonts w:eastAsiaTheme="minorEastAsia"/>
        </w:rPr>
        <w:t>.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>Пос</w:t>
      </w:r>
      <w:r>
        <w:rPr>
          <w:rFonts w:eastAsiaTheme="minorEastAsia"/>
        </w:rPr>
        <w:t>тупающие, участвующие во вступительных испытаниях с применением ДОТ, должны располагать техническими средствами и программным обеспечением, позволяющими обеспечить целостность процедуры проведения вступительных испытаний. Поступающие самостоятельно обеспеч</w:t>
      </w:r>
      <w:r>
        <w:rPr>
          <w:rFonts w:eastAsiaTheme="minorEastAsia"/>
        </w:rPr>
        <w:t xml:space="preserve">ивают персональный компьютер доступом в сеть Интернет со скоростью не менее 2 </w:t>
      </w:r>
      <w:proofErr w:type="spellStart"/>
      <w:r>
        <w:rPr>
          <w:rFonts w:eastAsiaTheme="minorEastAsia"/>
        </w:rPr>
        <w:t>МБит</w:t>
      </w:r>
      <w:proofErr w:type="spellEnd"/>
      <w:r>
        <w:rPr>
          <w:rFonts w:eastAsiaTheme="minorEastAsia"/>
        </w:rPr>
        <w:t xml:space="preserve">/сек. Программно-аппаратное обеспечение </w:t>
      </w:r>
      <w:proofErr w:type="gramStart"/>
      <w:r>
        <w:rPr>
          <w:rFonts w:eastAsiaTheme="minorEastAsia"/>
        </w:rPr>
        <w:t>ПК</w:t>
      </w:r>
      <w:proofErr w:type="gramEnd"/>
      <w:r>
        <w:rPr>
          <w:rFonts w:eastAsiaTheme="minorEastAsia"/>
        </w:rPr>
        <w:t xml:space="preserve"> поступающих должно соответствовать следующим требованиям: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softHyphen/>
      </w:r>
      <w:r>
        <w:rPr>
          <w:rFonts w:eastAsiaTheme="minorEastAsia"/>
        </w:rPr>
        <w:tab/>
        <w:t xml:space="preserve">наличие подключенной </w:t>
      </w:r>
      <w:proofErr w:type="spellStart"/>
      <w:r>
        <w:rPr>
          <w:rFonts w:eastAsiaTheme="minorEastAsia"/>
        </w:rPr>
        <w:t>web</w:t>
      </w:r>
      <w:proofErr w:type="spellEnd"/>
      <w:r>
        <w:rPr>
          <w:rFonts w:eastAsiaTheme="minorEastAsia"/>
        </w:rPr>
        <w:t>-камеры со встроенным или внешним микрофоном;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softHyphen/>
      </w:r>
      <w:r>
        <w:rPr>
          <w:rFonts w:eastAsiaTheme="minorEastAsia"/>
        </w:rPr>
        <w:tab/>
        <w:t xml:space="preserve">наличие сканера / фотоаппарата с разрешением не менее 3 МП; 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softHyphen/>
      </w:r>
      <w:r>
        <w:rPr>
          <w:rFonts w:eastAsiaTheme="minorEastAsia"/>
        </w:rPr>
        <w:tab/>
        <w:t>наличие подключенных наушников / гарнитуры (либо колонок). Все устройства и конфигурация ПК должны быть совместимы и соответствовать системным требованиям для функционирования специализированн</w:t>
      </w:r>
      <w:r>
        <w:rPr>
          <w:rFonts w:eastAsiaTheme="minorEastAsia"/>
        </w:rPr>
        <w:t xml:space="preserve">ого программного обеспечения (ссылка для проверки совместимости и соответствия, размещается на сайте вуза https://www.sseu.ru/postupayushchim/priem_v_sseu, за неделю до начала приемной компании. 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>К помещениям и рабочему пространству, в котором находятся по</w:t>
      </w:r>
      <w:r>
        <w:rPr>
          <w:rFonts w:eastAsiaTheme="minorEastAsia"/>
        </w:rPr>
        <w:t xml:space="preserve">ступающие, устанавливаются следующие требования: 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softHyphen/>
      </w:r>
      <w:r>
        <w:rPr>
          <w:rFonts w:eastAsiaTheme="minorEastAsia"/>
        </w:rPr>
        <w:tab/>
        <w:t xml:space="preserve">помещение должно быть со стенами, закрытой дверью, вдалеке от радиопомех; 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softHyphen/>
      </w:r>
      <w:r>
        <w:rPr>
          <w:rFonts w:eastAsiaTheme="minorEastAsia"/>
        </w:rPr>
        <w:tab/>
        <w:t xml:space="preserve">во время проведения вступительных испытаний, в помещении не должны находиться посторонние лица; 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lastRenderedPageBreak/>
        <w:softHyphen/>
      </w:r>
      <w:r>
        <w:rPr>
          <w:rFonts w:eastAsiaTheme="minorEastAsia"/>
        </w:rPr>
        <w:tab/>
        <w:t xml:space="preserve">дополнительные компьютеры и </w:t>
      </w:r>
      <w:r>
        <w:rPr>
          <w:rFonts w:eastAsiaTheme="minorEastAsia"/>
        </w:rPr>
        <w:t xml:space="preserve">другие технические средства должны быть отключены; 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softHyphen/>
      </w:r>
      <w:r>
        <w:rPr>
          <w:rFonts w:eastAsiaTheme="minorEastAsia"/>
        </w:rPr>
        <w:tab/>
        <w:t>рабочая поверхность стола, на котором установлен ПК поступающего, должна быть свободна от посторонних предметов, включая карманные компьютеры или другие компьютерные устройства, тетради, книги, блокноты</w:t>
      </w:r>
      <w:r>
        <w:rPr>
          <w:rFonts w:eastAsiaTheme="minorEastAsia"/>
        </w:rPr>
        <w:t xml:space="preserve">, заметки или бумаги; 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softHyphen/>
      </w:r>
      <w:r>
        <w:rPr>
          <w:rFonts w:eastAsiaTheme="minorEastAsia"/>
        </w:rPr>
        <w:tab/>
      </w:r>
      <w:proofErr w:type="spellStart"/>
      <w:r>
        <w:rPr>
          <w:rFonts w:eastAsiaTheme="minorEastAsia"/>
        </w:rPr>
        <w:t>web</w:t>
      </w:r>
      <w:proofErr w:type="spellEnd"/>
      <w:r>
        <w:rPr>
          <w:rFonts w:eastAsiaTheme="minorEastAsia"/>
        </w:rPr>
        <w:t xml:space="preserve">-камера не должна быть расположена напротив источника освещения, а должна демонстрировать абитуриента так, чтобы экзаменующий во время трансляции мог видеть лицо, руки и письменную работу абитуриента. 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softHyphen/>
      </w:r>
      <w:r>
        <w:rPr>
          <w:rFonts w:eastAsiaTheme="minorEastAsia"/>
        </w:rPr>
        <w:tab/>
        <w:t>на рабочем столе допуска</w:t>
      </w:r>
      <w:r>
        <w:rPr>
          <w:rFonts w:eastAsiaTheme="minorEastAsia"/>
        </w:rPr>
        <w:t>ется наличие чистого листа бумаги, ручки и непрограммируемого калькулятора.</w:t>
      </w:r>
    </w:p>
    <w:p w:rsidR="00EB7D49" w:rsidRDefault="00530BD0">
      <w:pPr>
        <w:suppressAutoHyphens w:val="0"/>
        <w:ind w:firstLine="567"/>
        <w:jc w:val="both"/>
      </w:pPr>
      <w:r>
        <w:rPr>
          <w:rFonts w:eastAsiaTheme="minorEastAsia"/>
        </w:rPr>
        <w:t>Во время вступительных испытаний осуществляется видеосъемка и аудиозапись.</w:t>
      </w:r>
      <w:bookmarkStart w:id="1" w:name="_GoBack_Копия_1"/>
      <w:bookmarkEnd w:id="1"/>
      <w:r>
        <w:rPr>
          <w:rFonts w:eastAsiaTheme="minorEastAsia"/>
        </w:rPr>
        <w:t xml:space="preserve"> 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>Если абитуриент во время дистанционного экзамена нарушает правила проведения ДОТ, то приемная комиссия и</w:t>
      </w:r>
      <w:r>
        <w:rPr>
          <w:rFonts w:eastAsiaTheme="minorEastAsia"/>
        </w:rPr>
        <w:t>меет право отстранить абитуриента от выполнения экзамена. Причины отстранения: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>- отсутствие у экзаменующегося технической возможности для прохождения экзамена, в соответствии с условиями проведения ВВИ дистанционно.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>- технический сбой, по неуважительной пр</w:t>
      </w:r>
      <w:r>
        <w:rPr>
          <w:rFonts w:eastAsiaTheme="minorEastAsia"/>
        </w:rPr>
        <w:t>ичине, со стороны экзаменующегося, повлекший за собой отсутствие видео или аудио трансляции сдачи экзамена, более чем на 10 минут. Уважительной причиной считается отключение электроэнергии или сети интернет, со стороны поставщика услуг, в связи с непредвид</w:t>
      </w:r>
      <w:r>
        <w:rPr>
          <w:rFonts w:eastAsiaTheme="minorEastAsia"/>
        </w:rPr>
        <w:t xml:space="preserve">енными обстоятельствами.  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 xml:space="preserve">- присутствие в помещении экзаменующегося, где проходит экзамен, посторонних лиц. </w:t>
      </w:r>
    </w:p>
    <w:p w:rsidR="00EB7D49" w:rsidRDefault="00530BD0">
      <w:pPr>
        <w:ind w:firstLine="567"/>
        <w:jc w:val="both"/>
      </w:pPr>
      <w:r>
        <w:rPr>
          <w:rFonts w:eastAsiaTheme="minorEastAsia"/>
        </w:rPr>
        <w:t>- использование экзаменующимся технических средств и программных продуктов, запрещенных на экзамене.</w:t>
      </w:r>
    </w:p>
    <w:sectPr w:rsidR="00EB7D49">
      <w:type w:val="continuous"/>
      <w:pgSz w:w="11906" w:h="16838"/>
      <w:pgMar w:top="1134" w:right="850" w:bottom="1134" w:left="1701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49"/>
    <w:rsid w:val="00530BD0"/>
    <w:rsid w:val="00EB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B4C7B-2E58-426B-99E3-F05CFA2B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FontStyle12">
    <w:name w:val="Font Style12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a3">
    <w:name w:val="Нижний колонтитул Знак"/>
    <w:basedOn w:val="a0"/>
    <w:link w:val="a4"/>
    <w:uiPriority w:val="99"/>
    <w:qFormat/>
    <w:rsid w:val="00244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A377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53B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31818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FE5A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qFormat/>
    <w:rsid w:val="002E1CD5"/>
    <w:pPr>
      <w:widowControl w:val="0"/>
      <w:spacing w:line="275" w:lineRule="exact"/>
      <w:ind w:firstLine="360"/>
      <w:jc w:val="both"/>
    </w:pPr>
  </w:style>
  <w:style w:type="paragraph" w:customStyle="1" w:styleId="Style3">
    <w:name w:val="Style3"/>
    <w:basedOn w:val="a"/>
    <w:qFormat/>
    <w:rsid w:val="002E1CD5"/>
    <w:pPr>
      <w:widowControl w:val="0"/>
      <w:spacing w:line="211" w:lineRule="exact"/>
      <w:ind w:firstLine="581"/>
    </w:pPr>
    <w:rPr>
      <w:rFonts w:ascii="Courier New" w:hAnsi="Courier New"/>
    </w:rPr>
  </w:style>
  <w:style w:type="paragraph" w:customStyle="1" w:styleId="Style4">
    <w:name w:val="Style4"/>
    <w:basedOn w:val="a"/>
    <w:qFormat/>
    <w:rsid w:val="002E1CD5"/>
    <w:pPr>
      <w:widowControl w:val="0"/>
      <w:spacing w:line="221" w:lineRule="exact"/>
      <w:jc w:val="center"/>
    </w:pPr>
    <w:rPr>
      <w:rFonts w:ascii="Courier New" w:hAnsi="Courier New"/>
    </w:rPr>
  </w:style>
  <w:style w:type="paragraph" w:customStyle="1" w:styleId="Style6">
    <w:name w:val="Style6"/>
    <w:basedOn w:val="a"/>
    <w:qFormat/>
    <w:rsid w:val="002E1CD5"/>
    <w:pPr>
      <w:widowControl w:val="0"/>
      <w:spacing w:line="218" w:lineRule="exact"/>
      <w:ind w:firstLine="566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5354C0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4">
    <w:name w:val="footer"/>
    <w:basedOn w:val="a"/>
    <w:link w:val="a3"/>
    <w:uiPriority w:val="99"/>
    <w:rsid w:val="0024437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5"/>
    <w:uiPriority w:val="99"/>
    <w:semiHidden/>
    <w:unhideWhenUsed/>
    <w:qFormat/>
    <w:rsid w:val="00A377FE"/>
    <w:rPr>
      <w:rFonts w:ascii="Tahoma" w:hAnsi="Tahoma" w:cs="Tahoma"/>
      <w:sz w:val="16"/>
      <w:szCs w:val="16"/>
    </w:rPr>
  </w:style>
  <w:style w:type="paragraph" w:styleId="af1">
    <w:name w:val="Normal (Web)"/>
    <w:basedOn w:val="a"/>
    <w:qFormat/>
    <w:rsid w:val="007C07CC"/>
    <w:pPr>
      <w:spacing w:beforeAutospacing="1" w:afterAutospacing="1"/>
    </w:pPr>
  </w:style>
  <w:style w:type="paragraph" w:customStyle="1" w:styleId="ConsPlusNormal">
    <w:name w:val="ConsPlusNormal"/>
    <w:qFormat/>
    <w:rsid w:val="007C07CC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qFormat/>
    <w:rsid w:val="00DE7C4D"/>
    <w:pPr>
      <w:widowControl w:val="0"/>
      <w:spacing w:line="211" w:lineRule="exact"/>
      <w:ind w:firstLine="581"/>
      <w:jc w:val="both"/>
    </w:pPr>
    <w:rPr>
      <w:rFonts w:ascii="Courier New" w:hAnsi="Courier New"/>
    </w:rPr>
  </w:style>
  <w:style w:type="paragraph" w:styleId="a8">
    <w:name w:val="header"/>
    <w:basedOn w:val="a"/>
    <w:link w:val="a7"/>
    <w:uiPriority w:val="99"/>
    <w:unhideWhenUsed/>
    <w:rsid w:val="00153BA2"/>
    <w:pPr>
      <w:tabs>
        <w:tab w:val="center" w:pos="4677"/>
        <w:tab w:val="right" w:pos="9355"/>
      </w:tabs>
    </w:pPr>
  </w:style>
  <w:style w:type="table" w:styleId="af2">
    <w:name w:val="Table Grid"/>
    <w:basedOn w:val="a1"/>
    <w:uiPriority w:val="59"/>
    <w:rsid w:val="00B85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69035-252A-4A9B-A76F-8683B3C2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SmolinaE.S</dc:creator>
  <dc:description/>
  <cp:lastModifiedBy>Сидорова Анна Викторовна</cp:lastModifiedBy>
  <cp:revision>2</cp:revision>
  <cp:lastPrinted>2022-03-18T09:22:00Z</cp:lastPrinted>
  <dcterms:created xsi:type="dcterms:W3CDTF">2023-10-24T08:18:00Z</dcterms:created>
  <dcterms:modified xsi:type="dcterms:W3CDTF">2023-10-24T08:18:00Z</dcterms:modified>
  <dc:language>ru-RU</dc:language>
</cp:coreProperties>
</file>